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w:t>
      </w:r>
      <w:r>
        <w:rPr>
          <w:rFonts w:hint="eastAsia" w:ascii="Arial" w:hAnsi="Arial" w:cs="Arial"/>
          <w:b/>
          <w:sz w:val="24"/>
          <w:szCs w:val="24"/>
          <w:lang w:val="en-US" w:eastAsia="zh-CN"/>
        </w:rPr>
        <w:t>8</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R4-2311504</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color w:val="FF0000"/>
          <w:sz w:val="24"/>
          <w:szCs w:val="24"/>
        </w:rPr>
      </w:pPr>
      <w:r>
        <w:rPr>
          <w:rFonts w:ascii="Arial" w:hAnsi="Arial" w:eastAsia="宋体" w:cs="Arial"/>
          <w:b/>
          <w:sz w:val="24"/>
          <w:szCs w:val="24"/>
          <w:lang w:eastAsia="zh-CN"/>
        </w:rPr>
        <w:t>Toulouse, France, August 21 – August 25,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UE demodulation</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w:t>
      </w:r>
      <w:r>
        <w:rPr>
          <w:rStyle w:val="59"/>
          <w:rFonts w:hint="eastAsia"/>
          <w:b/>
          <w:color w:val="auto"/>
        </w:rPr>
        <w:t>.</w:t>
      </w:r>
      <w:r>
        <w:rPr>
          <w:rStyle w:val="59"/>
          <w:rFonts w:hint="eastAsia"/>
          <w:b/>
          <w:color w:val="auto"/>
          <w:lang w:val="en-US" w:eastAsia="zh-CN"/>
        </w:rPr>
        <w:t>13</w:t>
      </w:r>
      <w:r>
        <w:rPr>
          <w:rStyle w:val="59"/>
          <w:rFonts w:hint="eastAsia"/>
          <w:b/>
          <w:color w:val="auto"/>
        </w:rPr>
        <w:t>.</w:t>
      </w:r>
      <w:r>
        <w:rPr>
          <w:rStyle w:val="59"/>
          <w:rFonts w:hint="eastAsia"/>
          <w:b/>
          <w:color w:val="auto"/>
          <w:lang w:val="en-US" w:eastAsia="zh-CN"/>
        </w:rPr>
        <w:t>5.2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sz w:val="20"/>
          <w:szCs w:val="20"/>
          <w:lang w:val="en-US" w:eastAsia="zh-CN"/>
        </w:rPr>
      </w:pPr>
      <w:r>
        <w:rPr>
          <w:rFonts w:hint="eastAsia"/>
          <w:sz w:val="20"/>
          <w:szCs w:val="20"/>
          <w:lang w:val="en-US" w:eastAsia="zh-CN"/>
        </w:rPr>
        <w:t>In RAN#99e meeting</w:t>
      </w:r>
      <w:r>
        <w:rPr>
          <w:rFonts w:hint="eastAsia"/>
          <w:sz w:val="20"/>
          <w:szCs w:val="20"/>
          <w:vertAlign w:val="superscript"/>
          <w:lang w:val="en-US" w:eastAsia="zh-CN"/>
        </w:rPr>
        <w:t>[1]</w:t>
      </w:r>
      <w:r>
        <w:rPr>
          <w:rFonts w:hint="eastAsia"/>
          <w:sz w:val="20"/>
          <w:szCs w:val="20"/>
          <w:lang w:val="en-US" w:eastAsia="zh-CN"/>
        </w:rPr>
        <w:t xml:space="preserve">, the revised work item on Air-to-ground network for NR was approved as one of Rel-18 RAN4 package.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cs="Times New Roman"/>
          <w:sz w:val="20"/>
          <w:szCs w:val="20"/>
          <w:lang w:val="en-US" w:eastAsia="zh-CN"/>
        </w:rPr>
      </w:pPr>
      <w:r>
        <w:rPr>
          <w:rFonts w:hint="eastAsia"/>
          <w:sz w:val="20"/>
          <w:szCs w:val="20"/>
          <w:lang w:val="en-US" w:eastAsia="zh-CN"/>
        </w:rPr>
        <w:t>During the last RAN4 meeting, some conclusions which need further discussion for ATG DL demodulation</w:t>
      </w:r>
      <w:r>
        <w:rPr>
          <w:rFonts w:hint="eastAsia" w:cs="Times New Roman"/>
          <w:sz w:val="20"/>
          <w:szCs w:val="20"/>
          <w:lang w:val="en-US" w:eastAsia="zh-CN"/>
        </w:rPr>
        <w:t xml:space="preserve"> are listed below</w:t>
      </w:r>
      <w:r>
        <w:rPr>
          <w:rFonts w:hint="eastAsia" w:cs="Times New Roman"/>
          <w:sz w:val="20"/>
          <w:szCs w:val="20"/>
          <w:vertAlign w:val="superscript"/>
          <w:lang w:val="en-US" w:eastAsia="zh-CN"/>
        </w:rPr>
        <w:t>[2]</w:t>
      </w:r>
      <w:r>
        <w:rPr>
          <w:rFonts w:hint="eastAsia" w:cs="Times New Roman"/>
          <w:sz w:val="20"/>
          <w:szCs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b/>
                <w:sz w:val="20"/>
                <w:szCs w:val="20"/>
                <w:u w:val="single"/>
                <w:lang w:eastAsia="ko-KR"/>
              </w:rPr>
            </w:pPr>
            <w:r>
              <w:rPr>
                <w:rFonts w:ascii="Times New Roman" w:hAnsi="Times New Roman" w:cs="Times New Roman"/>
                <w:b/>
                <w:sz w:val="20"/>
                <w:szCs w:val="20"/>
                <w:u w:val="single"/>
                <w:lang w:eastAsia="ko-KR"/>
              </w:rPr>
              <w:t>Issue 2-1-1: Test scope for PDSCH</w:t>
            </w:r>
          </w:p>
          <w:p>
            <w:pPr>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宋体" w:cs="Times New Roman"/>
                <w:sz w:val="20"/>
                <w:lang w:val="en-GB"/>
              </w:rPr>
            </w:pPr>
            <w:r>
              <w:rPr>
                <w:rFonts w:ascii="Times New Roman" w:hAnsi="Times New Roman" w:eastAsia="宋体" w:cs="Times New Roman"/>
                <w:sz w:val="20"/>
                <w:lang w:val="en-GB"/>
              </w:rPr>
              <w:t>New PDSCH test cases for ATG with FDD slot pattern can be as follows.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7"/>
              <w:gridCol w:w="672"/>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lang w:eastAsia="en-US"/>
                    </w:rPr>
                  </w:pPr>
                  <w:r>
                    <w:rPr>
                      <w:rFonts w:ascii="Times New Roman" w:hAnsi="Times New Roman" w:eastAsia="Yu Mincho" w:cs="Times New Roman"/>
                      <w:bCs/>
                      <w:sz w:val="20"/>
                      <w:szCs w:val="20"/>
                      <w:u w:val="single"/>
                    </w:rPr>
                    <w:t>FDD</w:t>
                  </w:r>
                </w:p>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10 MHz 15kHz SCS</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2T2R</w:t>
                  </w:r>
                </w:p>
              </w:tc>
              <w:tc>
                <w:tcPr>
                  <w:tcW w:w="0" w:type="auto"/>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2T4R</w:t>
                  </w:r>
                </w:p>
              </w:tc>
              <w:tc>
                <w:tcPr>
                  <w:tcW w:w="0" w:type="auto"/>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256QAM (MCS [24] in table 2)</w:t>
                  </w:r>
                </w:p>
              </w:tc>
            </w:tr>
          </w:tbl>
          <w:p>
            <w:pPr>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宋体" w:cs="Times New Roman"/>
                <w:sz w:val="20"/>
                <w:lang w:val="en-GB"/>
              </w:rPr>
            </w:pPr>
            <w:r>
              <w:rPr>
                <w:rFonts w:ascii="Times New Roman" w:hAnsi="Times New Roman" w:eastAsia="宋体" w:cs="Times New Roman"/>
                <w:sz w:val="20"/>
                <w:lang w:val="en-GB"/>
              </w:rPr>
              <w:t>New PDSCH test cases with static TDD slot pattern can be as follows (if introduced):</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134"/>
              <w:gridCol w:w="989"/>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lang w:eastAsia="en-US"/>
                    </w:rPr>
                  </w:pPr>
                  <w:r>
                    <w:rPr>
                      <w:rFonts w:ascii="Times New Roman" w:hAnsi="Times New Roman" w:eastAsia="Yu Mincho" w:cs="Times New Roman"/>
                      <w:bCs/>
                      <w:sz w:val="20"/>
                      <w:szCs w:val="20"/>
                      <w:u w:val="single"/>
                    </w:rPr>
                    <w:t>TDD</w:t>
                  </w:r>
                </w:p>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hint="default" w:ascii="Times New Roman" w:hAnsi="Times New Roman" w:cs="Times New Roman" w:eastAsiaTheme="minorEastAsia"/>
                      <w:bCs/>
                      <w:sz w:val="20"/>
                      <w:szCs w:val="20"/>
                      <w:u w:val="single"/>
                    </w:rPr>
                    <w:t>40</w:t>
                  </w:r>
                  <w:r>
                    <w:rPr>
                      <w:rFonts w:ascii="Times New Roman" w:hAnsi="Times New Roman" w:eastAsia="Yu Mincho" w:cs="Times New Roman"/>
                      <w:bCs/>
                      <w:sz w:val="20"/>
                      <w:szCs w:val="20"/>
                      <w:u w:val="single"/>
                    </w:rPr>
                    <w:t>MHz 30kHz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hint="default" w:ascii="Times New Roman" w:hAnsi="Times New Roman" w:cs="Times New Roman" w:eastAsiaTheme="minorEastAsia"/>
                      <w:bCs/>
                      <w:sz w:val="20"/>
                      <w:szCs w:val="20"/>
                      <w:u w:val="single"/>
                    </w:rPr>
                    <w:t xml:space="preserve">FFS on new TDD pattern: </w:t>
                  </w:r>
                  <w:r>
                    <w:rPr>
                      <w:rFonts w:ascii="Times New Roman" w:hAnsi="Times New Roman" w:eastAsia="Yu Mincho" w:cs="Times New Roman"/>
                      <w:bCs/>
                      <w:sz w:val="20"/>
                      <w:szCs w:val="20"/>
                      <w:u w:val="single"/>
                    </w:rPr>
                    <w:t>30D4S6U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7D1S2U</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2T2R</w:t>
                  </w: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256QAM (MCS [24]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2T4R</w:t>
                  </w: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eastAsia="Yu Mincho" w:cs="Times New Roman"/>
                      <w:bCs/>
                      <w:sz w:val="20"/>
                      <w:szCs w:val="20"/>
                      <w:u w:val="single"/>
                      <w:lang w:val="en-GB" w:eastAsia="en-US"/>
                    </w:rPr>
                  </w:pPr>
                </w:p>
              </w:tc>
              <w:tc>
                <w:tcPr>
                  <w:tcW w:w="2980" w:type="dxa"/>
                  <w:tcBorders>
                    <w:top w:val="single" w:color="auto" w:sz="4" w:space="0"/>
                    <w:left w:val="single" w:color="auto" w:sz="4" w:space="0"/>
                    <w:bottom w:val="single" w:color="auto" w:sz="4" w:space="0"/>
                    <w:right w:val="single" w:color="auto" w:sz="4" w:space="0"/>
                  </w:tcBorders>
                </w:tcPr>
                <w:p>
                  <w:pPr>
                    <w:pageBreakBefore w:val="0"/>
                    <w:widowControl/>
                    <w:kinsoku/>
                    <w:wordWrap/>
                    <w:overflowPunct w:val="0"/>
                    <w:topLinePunct w:val="0"/>
                    <w:autoSpaceDE w:val="0"/>
                    <w:autoSpaceDN w:val="0"/>
                    <w:bidi w:val="0"/>
                    <w:adjustRightInd/>
                    <w:snapToGrid/>
                    <w:spacing w:before="120" w:beforeLines="0" w:after="120" w:afterLines="0" w:line="240" w:lineRule="auto"/>
                    <w:jc w:val="center"/>
                    <w:textAlignment w:val="baseline"/>
                    <w:rPr>
                      <w:rFonts w:ascii="Times New Roman" w:hAnsi="Times New Roman" w:eastAsia="Yu Mincho" w:cs="Times New Roman"/>
                      <w:bCs/>
                      <w:sz w:val="20"/>
                      <w:szCs w:val="20"/>
                      <w:u w:val="single"/>
                    </w:rPr>
                  </w:pPr>
                  <w:r>
                    <w:rPr>
                      <w:rFonts w:ascii="Times New Roman" w:hAnsi="Times New Roman" w:eastAsia="Yu Mincho" w:cs="Times New Roman"/>
                      <w:bCs/>
                      <w:sz w:val="20"/>
                      <w:szCs w:val="20"/>
                      <w:u w:val="single"/>
                    </w:rPr>
                    <w:t>256QAM (MCS [24] in table 2)</w:t>
                  </w:r>
                </w:p>
              </w:tc>
            </w:tr>
          </w:tbl>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cs="Times New Roman" w:eastAsiaTheme="minorEastAsia"/>
                <w:sz w:val="20"/>
                <w:szCs w:val="20"/>
              </w:rPr>
            </w:pPr>
            <w:r>
              <w:rPr>
                <w:rFonts w:hint="default" w:ascii="Times New Roman" w:hAnsi="Times New Roman" w:cs="Times New Roman" w:eastAsiaTheme="minorEastAsia"/>
                <w:sz w:val="20"/>
                <w:szCs w:val="20"/>
              </w:rPr>
              <w:t>For existing PDSCH test cases:</w:t>
            </w:r>
          </w:p>
          <w:p>
            <w:pPr>
              <w:pStyle w:val="32"/>
              <w:pageBreakBefore w:val="0"/>
              <w:widowControl/>
              <w:numPr>
                <w:ilvl w:val="1"/>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lang w:val="en-GB"/>
              </w:rPr>
            </w:pPr>
            <w:r>
              <w:rPr>
                <w:rFonts w:hint="default" w:ascii="Times New Roman" w:hAnsi="Times New Roman" w:cs="Times New Roman" w:eastAsiaTheme="minorEastAsia"/>
                <w:sz w:val="20"/>
                <w:szCs w:val="20"/>
              </w:rPr>
              <w:t>C</w:t>
            </w:r>
            <w:r>
              <w:rPr>
                <w:rFonts w:ascii="Times New Roman" w:hAnsi="Times New Roman" w:eastAsia="宋体" w:cs="Times New Roman"/>
                <w:sz w:val="20"/>
                <w:szCs w:val="20"/>
              </w:rPr>
              <w:t>hoose 1 test case per Modulation Order for PDSCH Mapping Type A only, for FDD and TDD</w:t>
            </w:r>
            <w:r>
              <w:rPr>
                <w:rFonts w:hint="default" w:ascii="Times New Roman" w:hAnsi="Times New Roman" w:cs="Times New Roman" w:eastAsiaTheme="minorEastAsia"/>
                <w:sz w:val="20"/>
                <w:szCs w:val="20"/>
              </w:rPr>
              <w:t>, FFS on which test cases to choose.</w:t>
            </w:r>
          </w:p>
          <w:p>
            <w:pPr>
              <w:pStyle w:val="32"/>
              <w:pageBreakBefore w:val="0"/>
              <w:widowControl/>
              <w:numPr>
                <w:ilvl w:val="1"/>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lang w:val="en-GB"/>
              </w:rPr>
            </w:pPr>
            <w:r>
              <w:rPr>
                <w:rFonts w:hint="default" w:ascii="Times New Roman" w:hAnsi="Times New Roman" w:cs="Times New Roman" w:eastAsiaTheme="minorEastAsia"/>
                <w:sz w:val="20"/>
                <w:szCs w:val="20"/>
              </w:rPr>
              <w:t>C</w:t>
            </w:r>
            <w:r>
              <w:rPr>
                <w:rFonts w:ascii="Times New Roman" w:hAnsi="Times New Roman" w:eastAsia="宋体" w:cs="Times New Roman"/>
                <w:sz w:val="20"/>
                <w:szCs w:val="20"/>
              </w:rPr>
              <w:t>onsider Single Carrier requirements only</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b/>
                <w:sz w:val="20"/>
                <w:szCs w:val="20"/>
                <w:u w:val="single"/>
                <w:lang w:eastAsia="ko-KR"/>
              </w:rPr>
            </w:pPr>
            <w:r>
              <w:rPr>
                <w:rFonts w:ascii="Times New Roman" w:hAnsi="Times New Roman" w:cs="Times New Roman"/>
                <w:b/>
                <w:sz w:val="20"/>
                <w:szCs w:val="20"/>
                <w:u w:val="single"/>
                <w:lang w:eastAsia="ko-KR"/>
              </w:rPr>
              <w:t>Issue 2-1-4: MCS&amp;Rank</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eastAsiaTheme="minorEastAsia"/>
                <w:b/>
                <w:sz w:val="20"/>
                <w:szCs w:val="20"/>
              </w:rPr>
            </w:pPr>
            <w:r>
              <w:rPr>
                <w:rFonts w:hint="default" w:ascii="Times New Roman" w:hAnsi="Times New Roman" w:cs="Times New Roman" w:eastAsiaTheme="minorEastAsia"/>
                <w:b/>
                <w:sz w:val="20"/>
                <w:szCs w:val="20"/>
              </w:rPr>
              <w:t>Agreement:</w:t>
            </w:r>
          </w:p>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rPr>
            </w:pPr>
            <w:r>
              <w:rPr>
                <w:rFonts w:ascii="Times New Roman" w:hAnsi="Times New Roman" w:eastAsia="宋体" w:cs="Times New Roman"/>
                <w:sz w:val="20"/>
                <w:szCs w:val="20"/>
              </w:rPr>
              <w:t xml:space="preserve">Cover 256QAM for ATG demod </w:t>
            </w:r>
          </w:p>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rPr>
            </w:pPr>
            <w:r>
              <w:rPr>
                <w:rFonts w:ascii="Times New Roman" w:hAnsi="Times New Roman" w:eastAsia="宋体" w:cs="Times New Roman"/>
                <w:sz w:val="20"/>
                <w:szCs w:val="20"/>
              </w:rPr>
              <w:t>Further discuss the MCS value based on simulation results from companies.</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eastAsiaTheme="minorEastAsia"/>
                <w:b/>
                <w:sz w:val="20"/>
                <w:szCs w:val="20"/>
                <w:u w:val="single"/>
              </w:rPr>
            </w:pPr>
            <w:r>
              <w:rPr>
                <w:rFonts w:ascii="Times New Roman" w:hAnsi="Times New Roman" w:cs="Times New Roman"/>
                <w:b/>
                <w:sz w:val="20"/>
                <w:szCs w:val="20"/>
                <w:u w:val="single"/>
                <w:lang w:eastAsia="ko-KR"/>
              </w:rPr>
              <w:t>Issue 2-1-5: Applicability rule</w:t>
            </w:r>
          </w:p>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rPr>
            </w:pPr>
            <w:r>
              <w:rPr>
                <w:rFonts w:ascii="Times New Roman" w:hAnsi="Times New Roman" w:eastAsia="宋体" w:cs="Times New Roman"/>
                <w:sz w:val="20"/>
                <w:szCs w:val="20"/>
              </w:rPr>
              <w:t>Option 1: New UE feature for ATG scenario and corresponding applicability rule shall be introduced, for instance</w:t>
            </w:r>
          </w:p>
          <w:tbl>
            <w:tblPr>
              <w:tblStyle w:val="22"/>
              <w:tblW w:w="34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082"/>
              <w:gridCol w:w="1081"/>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7" w:type="pct"/>
                  <w:tcBorders>
                    <w:top w:val="single" w:color="auto" w:sz="4" w:space="0"/>
                    <w:left w:val="single" w:color="auto" w:sz="4" w:space="0"/>
                    <w:bottom w:val="single" w:color="auto" w:sz="4" w:space="0"/>
                    <w:right w:val="single" w:color="auto" w:sz="4" w:space="0"/>
                  </w:tcBorders>
                </w:tcPr>
                <w:p>
                  <w:pPr>
                    <w:pStyle w:val="64"/>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szCs w:val="20"/>
                      <w:lang w:eastAsia="ko-KR"/>
                    </w:rPr>
                  </w:pPr>
                  <w:r>
                    <w:rPr>
                      <w:rFonts w:ascii="Times New Roman" w:hAnsi="Times New Roman" w:cs="Times New Roman"/>
                      <w:sz w:val="20"/>
                      <w:szCs w:val="20"/>
                      <w:lang w:eastAsia="ko-KR"/>
                    </w:rPr>
                    <w:t>UE capability</w:t>
                  </w:r>
                </w:p>
              </w:tc>
              <w:tc>
                <w:tcPr>
                  <w:tcW w:w="1621" w:type="pct"/>
                  <w:gridSpan w:val="2"/>
                  <w:tcBorders>
                    <w:top w:val="single" w:color="auto" w:sz="4" w:space="0"/>
                    <w:left w:val="single" w:color="auto" w:sz="4" w:space="0"/>
                    <w:bottom w:val="single" w:color="auto" w:sz="4" w:space="0"/>
                    <w:right w:val="single" w:color="auto" w:sz="4" w:space="0"/>
                  </w:tcBorders>
                </w:tcPr>
                <w:p>
                  <w:pPr>
                    <w:pStyle w:val="64"/>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Test type</w:t>
                  </w:r>
                </w:p>
              </w:tc>
              <w:tc>
                <w:tcPr>
                  <w:tcW w:w="2052" w:type="pct"/>
                  <w:tcBorders>
                    <w:top w:val="single" w:color="auto" w:sz="4" w:space="0"/>
                    <w:left w:val="single" w:color="auto" w:sz="4" w:space="0"/>
                    <w:bottom w:val="single" w:color="auto" w:sz="4" w:space="0"/>
                    <w:right w:val="single" w:color="auto" w:sz="4" w:space="0"/>
                  </w:tcBorders>
                </w:tcPr>
                <w:p>
                  <w:pPr>
                    <w:pStyle w:val="64"/>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Test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327" w:type="pct"/>
                  <w:tcBorders>
                    <w:top w:val="single" w:color="auto" w:sz="4" w:space="0"/>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lang w:val="en-US" w:eastAsia="zh-CN"/>
                    </w:rPr>
                  </w:pPr>
                  <w:r>
                    <w:rPr>
                      <w:rFonts w:ascii="Times New Roman" w:hAnsi="Times New Roman" w:eastAsia="宋体" w:cs="Times New Roman"/>
                      <w:sz w:val="20"/>
                      <w:lang w:val="en-US" w:eastAsia="zh-CN"/>
                    </w:rPr>
                    <w:t>ATG with 2RX</w:t>
                  </w:r>
                </w:p>
              </w:tc>
              <w:tc>
                <w:tcPr>
                  <w:tcW w:w="811" w:type="pct"/>
                  <w:tcBorders>
                    <w:top w:val="single" w:color="auto" w:sz="4" w:space="0"/>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lang w:val="en-US" w:eastAsia="zh-CN"/>
                    </w:rPr>
                  </w:pPr>
                  <w:r>
                    <w:rPr>
                      <w:rFonts w:ascii="Times New Roman" w:hAnsi="Times New Roman" w:eastAsia="宋体" w:cs="Times New Roman"/>
                      <w:sz w:val="20"/>
                      <w:lang w:val="en-US" w:eastAsia="zh-CN"/>
                    </w:rPr>
                    <w:t xml:space="preserve">FR1 FDD </w:t>
                  </w: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lang w:val="en-US" w:eastAsia="zh-CN"/>
                    </w:rPr>
                  </w:pPr>
                  <w:r>
                    <w:rPr>
                      <w:rFonts w:ascii="Times New Roman" w:hAnsi="Times New Roman" w:eastAsia="宋体" w:cs="Times New Roman"/>
                      <w:sz w:val="20"/>
                      <w:lang w:val="en-US" w:eastAsia="zh-CN"/>
                    </w:rPr>
                    <w:t>PDSCH</w:t>
                  </w:r>
                </w:p>
              </w:tc>
              <w:tc>
                <w:tcPr>
                  <w:tcW w:w="2052" w:type="pct"/>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lang w:val="en-US" w:eastAsia="zh-CN"/>
                    </w:rPr>
                  </w:pPr>
                  <w:r>
                    <w:rPr>
                      <w:rFonts w:ascii="Times New Roman" w:hAnsi="Times New Roman" w:eastAsia="宋体" w:cs="Times New Roman"/>
                      <w:sz w:val="20"/>
                      <w:lang w:val="en-US" w:eastAsia="zh-CN"/>
                    </w:rPr>
                    <w:t>All tests in Clause 5.2.1.1.x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7" w:type="pct"/>
                  <w:tcBorders>
                    <w:top w:val="nil"/>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sz w:val="20"/>
                      <w:lang w:val="en-US" w:eastAsia="zh-CN"/>
                    </w:rPr>
                  </w:pPr>
                </w:p>
              </w:tc>
              <w:tc>
                <w:tcPr>
                  <w:tcW w:w="811" w:type="pct"/>
                  <w:tcBorders>
                    <w:top w:val="nil"/>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PDCCH</w:t>
                  </w:r>
                </w:p>
              </w:tc>
              <w:tc>
                <w:tcPr>
                  <w:tcW w:w="205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7" w:type="pct"/>
                  <w:tcBorders>
                    <w:top w:val="nil"/>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lang w:val="en-US" w:eastAsia="zh-CN"/>
                    </w:rPr>
                  </w:pPr>
                </w:p>
              </w:tc>
              <w:tc>
                <w:tcPr>
                  <w:tcW w:w="811" w:type="pct"/>
                  <w:tcBorders>
                    <w:top w:val="single" w:color="auto" w:sz="4" w:space="0"/>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FR1 TDD</w:t>
                  </w: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PDSCH</w:t>
                  </w:r>
                </w:p>
              </w:tc>
              <w:tc>
                <w:tcPr>
                  <w:tcW w:w="205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5.2.1.2.x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7" w:type="pct"/>
                  <w:tcBorders>
                    <w:top w:val="nil"/>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lang w:val="en-US" w:eastAsia="zh-CN"/>
                    </w:rPr>
                  </w:pPr>
                </w:p>
              </w:tc>
              <w:tc>
                <w:tcPr>
                  <w:tcW w:w="811" w:type="pct"/>
                  <w:tcBorders>
                    <w:top w:val="nil"/>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PDCCH</w:t>
                  </w:r>
                </w:p>
              </w:tc>
              <w:tc>
                <w:tcPr>
                  <w:tcW w:w="205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327" w:type="pct"/>
                  <w:tcBorders>
                    <w:top w:val="single" w:color="auto" w:sz="4" w:space="0"/>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lang w:val="en-US" w:eastAsia="zh-CN"/>
                    </w:rPr>
                  </w:pPr>
                  <w:r>
                    <w:rPr>
                      <w:rFonts w:ascii="Times New Roman" w:hAnsi="Times New Roman" w:cs="Times New Roman"/>
                      <w:sz w:val="20"/>
                      <w:lang w:val="en-US" w:eastAsia="zh-CN"/>
                    </w:rPr>
                    <w:t>ATG with 4RX</w:t>
                  </w:r>
                </w:p>
              </w:tc>
              <w:tc>
                <w:tcPr>
                  <w:tcW w:w="811" w:type="pct"/>
                  <w:vMerge w:val="restart"/>
                  <w:tcBorders>
                    <w:top w:val="single" w:color="auto" w:sz="4" w:space="0"/>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 xml:space="preserve">FR1 FDD </w:t>
                  </w: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PDSCH</w:t>
                  </w:r>
                </w:p>
              </w:tc>
              <w:tc>
                <w:tcPr>
                  <w:tcW w:w="2052" w:type="pct"/>
                  <w:tcBorders>
                    <w:top w:val="single" w:color="auto" w:sz="4" w:space="0"/>
                    <w:left w:val="single" w:color="auto" w:sz="4" w:space="0"/>
                    <w:bottom w:val="single" w:color="auto" w:sz="4" w:space="0"/>
                    <w:right w:val="single" w:color="auto" w:sz="4" w:space="0"/>
                  </w:tcBorders>
                </w:tcPr>
                <w:p>
                  <w:pPr>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5.2.2.1.x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7" w:type="pct"/>
                  <w:tcBorders>
                    <w:top w:val="nil"/>
                    <w:left w:val="single" w:color="auto" w:sz="4" w:space="0"/>
                    <w:bottom w:val="nil"/>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lang w:val="en-US" w:eastAsia="zh-CN"/>
                    </w:rPr>
                  </w:pPr>
                </w:p>
              </w:tc>
              <w:tc>
                <w:tcPr>
                  <w:tcW w:w="0" w:type="auto"/>
                  <w:vMerge w:val="continue"/>
                  <w:tcBorders>
                    <w:top w:val="single" w:color="auto" w:sz="4" w:space="0"/>
                    <w:left w:val="single" w:color="auto" w:sz="4" w:space="0"/>
                    <w:bottom w:val="nil"/>
                    <w:right w:val="single" w:color="auto" w:sz="4" w:space="0"/>
                  </w:tcBorders>
                  <w:vAlign w:val="center"/>
                </w:tcPr>
                <w:p>
                  <w:pPr>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rPr>
                  </w:pP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PDCCH</w:t>
                  </w:r>
                </w:p>
              </w:tc>
              <w:tc>
                <w:tcPr>
                  <w:tcW w:w="2052" w:type="pct"/>
                  <w:tcBorders>
                    <w:top w:val="single" w:color="auto" w:sz="4" w:space="0"/>
                    <w:left w:val="single" w:color="auto" w:sz="4" w:space="0"/>
                    <w:bottom w:val="single" w:color="auto" w:sz="4" w:space="0"/>
                    <w:right w:val="single" w:color="auto" w:sz="4" w:space="0"/>
                  </w:tcBorders>
                </w:tcPr>
                <w:p>
                  <w:pPr>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5.3.3.1.2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327" w:type="pct"/>
                  <w:vMerge w:val="restart"/>
                  <w:tcBorders>
                    <w:top w:val="nil"/>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lang w:val="en-US" w:eastAsia="zh-CN"/>
                    </w:rPr>
                  </w:pPr>
                </w:p>
              </w:tc>
              <w:tc>
                <w:tcPr>
                  <w:tcW w:w="811" w:type="pct"/>
                  <w:vMerge w:val="restart"/>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FR1 TDD</w:t>
                  </w: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PDSCH</w:t>
                  </w:r>
                </w:p>
              </w:tc>
              <w:tc>
                <w:tcPr>
                  <w:tcW w:w="205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5.2.1.2.x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ageBreakBefore w:val="0"/>
                    <w:widowControl/>
                    <w:kinsoku/>
                    <w:wordWrap/>
                    <w:topLinePunct w:val="0"/>
                    <w:bidi w:val="0"/>
                    <w:adjustRightInd/>
                    <w:snapToGrid/>
                    <w:spacing w:before="120" w:beforeLines="0" w:after="120" w:afterLines="0" w:line="240" w:lineRule="auto"/>
                    <w:rPr>
                      <w:rFonts w:ascii="Times New Roman" w:hAnsi="Times New Roman" w:cs="Times New Roman" w:eastAsiaTheme="minor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rPr>
                  </w:pPr>
                </w:p>
              </w:tc>
              <w:tc>
                <w:tcPr>
                  <w:tcW w:w="0" w:type="auto"/>
                  <w:tcBorders>
                    <w:top w:val="single" w:color="auto" w:sz="4" w:space="0"/>
                    <w:left w:val="single" w:color="auto" w:sz="4" w:space="0"/>
                    <w:bottom w:val="single" w:color="auto" w:sz="4" w:space="0"/>
                    <w:right w:val="single" w:color="auto" w:sz="4" w:space="0"/>
                  </w:tcBorders>
                </w:tcPr>
                <w:p>
                  <w:pPr>
                    <w:pStyle w:val="57"/>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lang w:val="en-US" w:eastAsia="zh-CN"/>
                    </w:rPr>
                  </w:pPr>
                  <w:r>
                    <w:rPr>
                      <w:rFonts w:ascii="Times New Roman" w:hAnsi="Times New Roman" w:eastAsia="宋体" w:cs="Times New Roman"/>
                      <w:sz w:val="20"/>
                      <w:lang w:val="en-US" w:eastAsia="zh-CN"/>
                    </w:rPr>
                    <w:t>PDCCH</w:t>
                  </w:r>
                </w:p>
              </w:tc>
              <w:tc>
                <w:tcPr>
                  <w:tcW w:w="205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adjustRightInd/>
                    <w:snapToGrid/>
                    <w:spacing w:before="120" w:beforeLines="0" w:after="120" w:afterLines="0" w:line="240" w:lineRule="auto"/>
                    <w:rPr>
                      <w:rFonts w:ascii="Times New Roman" w:hAnsi="Times New Roman" w:eastAsia="宋体" w:cs="Times New Roman"/>
                      <w:sz w:val="20"/>
                      <w:szCs w:val="20"/>
                      <w:lang w:val="en-GB" w:eastAsia="en-US"/>
                    </w:rPr>
                  </w:pPr>
                  <w:r>
                    <w:rPr>
                      <w:rFonts w:ascii="Times New Roman" w:hAnsi="Times New Roman" w:eastAsia="宋体" w:cs="Times New Roman"/>
                      <w:sz w:val="20"/>
                      <w:szCs w:val="20"/>
                    </w:rPr>
                    <w:t>All tests in Clause 5.3.3.2.2</w:t>
                  </w:r>
                </w:p>
              </w:tc>
            </w:tr>
          </w:tbl>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rPr>
            </w:pPr>
            <w:r>
              <w:rPr>
                <w:rFonts w:ascii="Times New Roman" w:hAnsi="Times New Roman" w:eastAsia="宋体" w:cs="Times New Roman"/>
                <w:sz w:val="20"/>
                <w:szCs w:val="20"/>
              </w:rPr>
              <w:t>Option 2: For the applicability of the ATG UE Demod requirements, follow ongoing discussion in RF on related ATG UE capabilities;</w:t>
            </w:r>
          </w:p>
          <w:p>
            <w:pPr>
              <w:pStyle w:val="2"/>
              <w:pageBreakBefore w:val="0"/>
              <w:widowControl/>
              <w:numPr>
                <w:ilvl w:val="-1"/>
                <w:numId w:val="0"/>
              </w:numPr>
              <w:kinsoku/>
              <w:wordWrap/>
              <w:overflowPunct w:val="0"/>
              <w:topLinePunct w:val="0"/>
              <w:autoSpaceDE w:val="0"/>
              <w:autoSpaceDN w:val="0"/>
              <w:bidi w:val="0"/>
              <w:adjustRightInd/>
              <w:snapToGrid/>
              <w:spacing w:before="120" w:beforeLines="0" w:after="120" w:afterLines="0" w:line="240" w:lineRule="auto"/>
              <w:ind w:left="0" w:firstLine="0"/>
              <w:textAlignment w:val="baseline"/>
              <w:rPr>
                <w:rFonts w:ascii="Times New Roman" w:hAnsi="Times New Roman" w:cs="Times New Roman"/>
                <w:b w:val="0"/>
                <w:bCs w:val="0"/>
                <w:kern w:val="0"/>
                <w:sz w:val="20"/>
                <w:szCs w:val="20"/>
                <w:lang w:val="en-GB"/>
              </w:rPr>
            </w:pPr>
            <w:r>
              <w:rPr>
                <w:rFonts w:ascii="Times New Roman" w:hAnsi="Times New Roman" w:cs="Times New Roman"/>
                <w:b w:val="0"/>
                <w:bCs w:val="0"/>
                <w:kern w:val="0"/>
                <w:sz w:val="20"/>
                <w:szCs w:val="20"/>
                <w:lang w:val="en-GB"/>
              </w:rPr>
              <w:t>PDCCH requirements</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b/>
                <w:sz w:val="20"/>
                <w:szCs w:val="20"/>
                <w:u w:val="single"/>
                <w:lang w:eastAsia="ko-KR"/>
              </w:rPr>
            </w:pPr>
            <w:r>
              <w:rPr>
                <w:rFonts w:ascii="Times New Roman" w:hAnsi="Times New Roman" w:cs="Times New Roman"/>
                <w:b/>
                <w:sz w:val="20"/>
                <w:szCs w:val="20"/>
                <w:u w:val="single"/>
                <w:lang w:eastAsia="ko-KR"/>
              </w:rPr>
              <w:t>Issue 2-2-1: Test scope for PDCCH</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eastAsiaTheme="minorEastAsia"/>
                <w:b/>
                <w:sz w:val="20"/>
                <w:szCs w:val="20"/>
              </w:rPr>
            </w:pPr>
            <w:r>
              <w:rPr>
                <w:rFonts w:ascii="Times New Roman" w:hAnsi="Times New Roman" w:cs="Times New Roman" w:eastAsiaTheme="minorEastAsia"/>
                <w:b/>
                <w:sz w:val="20"/>
                <w:szCs w:val="20"/>
              </w:rPr>
              <w:t xml:space="preserve">Agreement: </w:t>
            </w:r>
          </w:p>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rPr>
            </w:pPr>
            <w:r>
              <w:rPr>
                <w:rFonts w:ascii="Times New Roman" w:hAnsi="Times New Roman" w:eastAsia="宋体" w:cs="Times New Roman"/>
                <w:sz w:val="20"/>
                <w:szCs w:val="20"/>
              </w:rPr>
              <w:t xml:space="preserve">No new test cases for PDCCH under the assumption that new PDSCH test cases will be specified. </w:t>
            </w:r>
          </w:p>
          <w:p>
            <w:pPr>
              <w:pStyle w:val="32"/>
              <w:pageBreakBefore w:val="0"/>
              <w:widowControl/>
              <w:numPr>
                <w:ilvl w:val="1"/>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eastAsia="宋体" w:cs="Times New Roman"/>
                <w:sz w:val="20"/>
                <w:szCs w:val="20"/>
              </w:rPr>
            </w:pPr>
            <w:r>
              <w:rPr>
                <w:rFonts w:ascii="Times New Roman" w:hAnsi="Times New Roman" w:eastAsia="宋体" w:cs="Times New Roman"/>
                <w:sz w:val="20"/>
                <w:szCs w:val="20"/>
              </w:rPr>
              <w:t>FFS on the selected legacy test cases for ATG UEs</w:t>
            </w:r>
          </w:p>
          <w:p>
            <w:pPr>
              <w:pStyle w:val="2"/>
              <w:pageBreakBefore w:val="0"/>
              <w:widowControl/>
              <w:numPr>
                <w:ilvl w:val="-1"/>
                <w:numId w:val="0"/>
              </w:numPr>
              <w:kinsoku/>
              <w:wordWrap/>
              <w:overflowPunct w:val="0"/>
              <w:topLinePunct w:val="0"/>
              <w:autoSpaceDE w:val="0"/>
              <w:autoSpaceDN w:val="0"/>
              <w:bidi w:val="0"/>
              <w:adjustRightInd/>
              <w:snapToGrid/>
              <w:spacing w:before="120" w:beforeLines="0" w:after="120" w:afterLines="0" w:line="240" w:lineRule="auto"/>
              <w:ind w:left="0" w:firstLine="0"/>
              <w:textAlignment w:val="baseline"/>
              <w:rPr>
                <w:rFonts w:ascii="Times New Roman" w:hAnsi="Times New Roman" w:cs="Times New Roman"/>
                <w:b w:val="0"/>
                <w:bCs w:val="0"/>
                <w:kern w:val="0"/>
                <w:sz w:val="20"/>
                <w:szCs w:val="20"/>
                <w:lang w:val="en-GB"/>
              </w:rPr>
            </w:pPr>
            <w:r>
              <w:rPr>
                <w:rFonts w:ascii="Times New Roman" w:hAnsi="Times New Roman" w:cs="Times New Roman"/>
                <w:b w:val="0"/>
                <w:bCs w:val="0"/>
                <w:kern w:val="0"/>
                <w:sz w:val="20"/>
                <w:szCs w:val="20"/>
                <w:lang w:val="en-GB"/>
              </w:rPr>
              <w:t>CSI reporting requirements</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b/>
                <w:sz w:val="20"/>
                <w:szCs w:val="20"/>
                <w:u w:val="single"/>
                <w:lang w:eastAsia="ko-KR"/>
              </w:rPr>
            </w:pPr>
            <w:r>
              <w:rPr>
                <w:rFonts w:ascii="Times New Roman" w:hAnsi="Times New Roman" w:cs="Times New Roman"/>
                <w:b/>
                <w:sz w:val="20"/>
                <w:szCs w:val="20"/>
                <w:u w:val="single"/>
                <w:lang w:eastAsia="ko-KR"/>
              </w:rPr>
              <w:t>Issue 2-3-1: Test scope for CSI reporting</w:t>
            </w:r>
          </w:p>
          <w:p>
            <w:pPr>
              <w:pageBreakBefore w:val="0"/>
              <w:widowControl/>
              <w:kinsoku/>
              <w:wordWrap/>
              <w:overflowPunct w:val="0"/>
              <w:topLinePunct w:val="0"/>
              <w:autoSpaceDE w:val="0"/>
              <w:autoSpaceDN w:val="0"/>
              <w:bidi w:val="0"/>
              <w:adjustRightInd/>
              <w:snapToGrid/>
              <w:spacing w:before="120" w:beforeLines="0" w:after="120" w:afterLines="0" w:line="240" w:lineRule="auto"/>
              <w:textAlignment w:val="baseline"/>
              <w:rPr>
                <w:rFonts w:ascii="Times New Roman" w:hAnsi="Times New Roman" w:cs="Times New Roman" w:eastAsiaTheme="minorEastAsia"/>
                <w:b/>
                <w:sz w:val="20"/>
                <w:szCs w:val="20"/>
              </w:rPr>
            </w:pPr>
            <w:r>
              <w:rPr>
                <w:rFonts w:hint="default" w:ascii="Times New Roman" w:hAnsi="Times New Roman" w:cs="Times New Roman" w:eastAsiaTheme="minorEastAsia"/>
                <w:b/>
                <w:sz w:val="20"/>
                <w:szCs w:val="20"/>
              </w:rPr>
              <w:t>A</w:t>
            </w:r>
            <w:r>
              <w:rPr>
                <w:rFonts w:ascii="Times New Roman" w:hAnsi="Times New Roman" w:cs="Times New Roman" w:eastAsiaTheme="minorEastAsia"/>
                <w:b/>
                <w:sz w:val="20"/>
                <w:szCs w:val="20"/>
              </w:rPr>
              <w:t>greement:</w:t>
            </w:r>
          </w:p>
          <w:p>
            <w:pPr>
              <w:pStyle w:val="32"/>
              <w:pageBreakBefore w:val="0"/>
              <w:widowControl/>
              <w:numPr>
                <w:ilvl w:val="0"/>
                <w:numId w:val="7"/>
              </w:numPr>
              <w:kinsoku/>
              <w:wordWrap/>
              <w:overflowPunct w:val="0"/>
              <w:topLinePunct w:val="0"/>
              <w:autoSpaceDE w:val="0"/>
              <w:autoSpaceDN w:val="0"/>
              <w:bidi w:val="0"/>
              <w:adjustRightInd/>
              <w:snapToGrid/>
              <w:spacing w:before="120" w:beforeLines="0" w:after="120" w:afterLines="0" w:line="240" w:lineRule="auto"/>
              <w:ind w:firstLineChars="0"/>
              <w:textAlignment w:val="baseline"/>
              <w:rPr>
                <w:rFonts w:ascii="Times New Roman" w:hAnsi="Times New Roman" w:cs="Times New Roman"/>
                <w:sz w:val="20"/>
                <w:lang w:val="en-US"/>
              </w:rPr>
            </w:pPr>
            <w:r>
              <w:rPr>
                <w:rFonts w:ascii="Times New Roman" w:hAnsi="Times New Roman" w:eastAsia="宋体" w:cs="Times New Roman"/>
                <w:sz w:val="20"/>
                <w:szCs w:val="20"/>
              </w:rPr>
              <w:t>FFS: The feasibility of the CSI reporting given the large propagation delay in the ATG scenario.</w:t>
            </w:r>
          </w:p>
        </w:tc>
      </w:tr>
    </w:tbl>
    <w:p>
      <w:pPr>
        <w:pageBreakBefore w:val="0"/>
        <w:widowControl w:val="0"/>
        <w:kinsoku/>
        <w:wordWrap/>
        <w:topLinePunct w:val="0"/>
        <w:bidi w:val="0"/>
        <w:adjustRightInd/>
        <w:snapToGrid/>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 xml:space="preserve">This contribution shares our views for the issues listed above. </w:t>
      </w:r>
    </w:p>
    <w:bookmarkEnd w:id="3"/>
    <w:p>
      <w:pPr>
        <w:pageBreakBefore w:val="0"/>
        <w:widowControl w:val="0"/>
        <w:pBdr>
          <w:top w:val="single" w:color="auto" w:sz="12" w:space="3"/>
        </w:pBdr>
        <w:kinsoku/>
        <w:wordWrap/>
        <w:topLinePunct w:val="0"/>
        <w:bidi w:val="0"/>
        <w:adjustRightInd/>
        <w:snapToGrid/>
        <w:spacing w:before="120" w:beforeLines="0" w:after="12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bookmarkStart w:id="4" w:name="OLE_LINK41"/>
      <w:bookmarkStart w:id="5" w:name="OLE_LINK6"/>
      <w:bookmarkStart w:id="6" w:name="OLE_LINK23"/>
      <w:bookmarkStart w:id="7" w:name="OLE_LINK66"/>
      <w:r>
        <w:rPr>
          <w:rFonts w:hint="eastAsia"/>
          <w:lang w:val="en-US" w:eastAsia="zh-CN"/>
        </w:rPr>
        <w:t>With regard to PDCCH requirements, it was agreed in RAN4 #107 meeting that no new test cases will be defined. Which legacy test cases for ATG UEs are FFS.</w:t>
      </w:r>
    </w:p>
    <w:p>
      <w:pPr>
        <w:pStyle w:val="62"/>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r>
        <w:rPr>
          <w:rFonts w:hint="eastAsia"/>
          <w:lang w:val="en-US" w:eastAsia="zh-CN"/>
        </w:rPr>
        <w:t>As AWGN+Doppler is agreed as the channel model for ATG scenario, the legacy requirement for PDCCH with TDL channel model can be reused for ATG requirements. The following shows some requirements which are copied from 38101-4[3].</w:t>
      </w:r>
    </w:p>
    <w:tbl>
      <w:tblPr>
        <w:tblStyle w:val="23"/>
        <w:tblW w:w="10413" w:type="dxa"/>
        <w:tblInd w:w="-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3" w:type="dxa"/>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5.3.2.1.2-1: Minimum performance for PDCCH with 15</w:t>
            </w:r>
            <w:r>
              <w:rPr>
                <w:rFonts w:hint="default" w:ascii="Times New Roman" w:hAnsi="Times New Roman" w:cs="Times New Roman"/>
                <w:sz w:val="16"/>
                <w:szCs w:val="16"/>
                <w:lang w:eastAsia="zh-CN"/>
              </w:rPr>
              <w:t xml:space="preserve"> </w:t>
            </w:r>
            <w:r>
              <w:rPr>
                <w:rFonts w:hint="default" w:ascii="Times New Roman" w:hAnsi="Times New Roman" w:cs="Times New Roman"/>
                <w:sz w:val="16"/>
                <w:szCs w:val="16"/>
              </w:rPr>
              <w:t>kHz SCS</w:t>
            </w:r>
          </w:p>
          <w:tbl>
            <w:tblPr>
              <w:tblStyle w:val="22"/>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054"/>
              <w:gridCol w:w="1087"/>
              <w:gridCol w:w="981"/>
              <w:gridCol w:w="1087"/>
              <w:gridCol w:w="1270"/>
              <w:gridCol w:w="1206"/>
              <w:gridCol w:w="1141"/>
              <w:gridCol w:w="825"/>
              <w:gridCol w:w="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6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Test number</w:t>
                  </w:r>
                </w:p>
              </w:tc>
              <w:tc>
                <w:tcPr>
                  <w:tcW w:w="1054"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rPr>
                    <w:t>Bandwidth</w:t>
                  </w:r>
                  <w:r>
                    <w:rPr>
                      <w:rFonts w:hint="default" w:ascii="Times New Roman" w:hAnsi="Times New Roman" w:eastAsia="宋体" w:cs="Times New Roman"/>
                      <w:b/>
                      <w:sz w:val="16"/>
                      <w:szCs w:val="16"/>
                      <w:lang w:eastAsia="zh-CN"/>
                    </w:rPr>
                    <w:t xml:space="preserve"> (MHz)</w:t>
                  </w:r>
                </w:p>
              </w:tc>
              <w:tc>
                <w:tcPr>
                  <w:tcW w:w="1087"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RB</w:t>
                  </w:r>
                </w:p>
              </w:tc>
              <w:tc>
                <w:tcPr>
                  <w:tcW w:w="98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duration</w:t>
                  </w:r>
                </w:p>
              </w:tc>
              <w:tc>
                <w:tcPr>
                  <w:tcW w:w="1087"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Aggregation level</w:t>
                  </w:r>
                </w:p>
              </w:tc>
              <w:tc>
                <w:tcPr>
                  <w:tcW w:w="1270"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Channel</w:t>
                  </w:r>
                </w:p>
              </w:tc>
              <w:tc>
                <w:tcPr>
                  <w:tcW w:w="1206"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Propagation Condition</w:t>
                  </w:r>
                </w:p>
              </w:tc>
              <w:tc>
                <w:tcPr>
                  <w:tcW w:w="114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Antenna configuration and correlation Matrix</w:t>
                  </w:r>
                </w:p>
              </w:tc>
              <w:tc>
                <w:tcPr>
                  <w:tcW w:w="1428" w:type="dxa"/>
                  <w:gridSpan w:val="2"/>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6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54"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87"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98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87"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270"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206"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14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825"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Pm-dsg (%)</w:t>
                  </w:r>
                </w:p>
              </w:tc>
              <w:tc>
                <w:tcPr>
                  <w:tcW w:w="603"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105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 xml:space="preserve">10 </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24</w:t>
                  </w:r>
                </w:p>
              </w:tc>
              <w:tc>
                <w:tcPr>
                  <w:tcW w:w="98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4</w:t>
                  </w:r>
                </w:p>
              </w:tc>
              <w:tc>
                <w:tcPr>
                  <w:tcW w:w="12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R.PDCCH. 1-2.2 FDD</w:t>
                  </w:r>
                </w:p>
              </w:tc>
              <w:tc>
                <w:tcPr>
                  <w:tcW w:w="120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4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2x2 Low</w:t>
                  </w:r>
                </w:p>
              </w:tc>
              <w:tc>
                <w:tcPr>
                  <w:tcW w:w="825"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603"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5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8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 1-2.5 FDD</w:t>
                  </w:r>
                </w:p>
              </w:tc>
              <w:tc>
                <w:tcPr>
                  <w:tcW w:w="120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4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2x2 Low</w:t>
                  </w:r>
                </w:p>
              </w:tc>
              <w:tc>
                <w:tcPr>
                  <w:tcW w:w="825"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03"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7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3</w:t>
                  </w:r>
                </w:p>
              </w:tc>
              <w:tc>
                <w:tcPr>
                  <w:tcW w:w="105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8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8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R.PDCCH.1-1.3 FDD</w:t>
                  </w:r>
                </w:p>
              </w:tc>
              <w:tc>
                <w:tcPr>
                  <w:tcW w:w="120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TDLA30-10</w:t>
                  </w:r>
                </w:p>
              </w:tc>
              <w:tc>
                <w:tcPr>
                  <w:tcW w:w="114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2x2 Low</w:t>
                  </w:r>
                </w:p>
              </w:tc>
              <w:tc>
                <w:tcPr>
                  <w:tcW w:w="825"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03"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-0.2</w:t>
                  </w:r>
                </w:p>
              </w:tc>
            </w:tr>
          </w:tbl>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5.3.3.1.2-1: Minimum performance for PDCCH with 15</w:t>
            </w:r>
            <w:r>
              <w:rPr>
                <w:rFonts w:hint="default" w:ascii="Times New Roman" w:hAnsi="Times New Roman" w:cs="Times New Roman"/>
                <w:sz w:val="16"/>
                <w:szCs w:val="16"/>
                <w:lang w:eastAsia="zh-CN"/>
              </w:rPr>
              <w:t xml:space="preserve"> </w:t>
            </w:r>
            <w:r>
              <w:rPr>
                <w:rFonts w:hint="default" w:ascii="Times New Roman" w:hAnsi="Times New Roman" w:cs="Times New Roman"/>
                <w:sz w:val="16"/>
                <w:szCs w:val="16"/>
              </w:rPr>
              <w:t>kHz SCS</w:t>
            </w:r>
          </w:p>
          <w:tbl>
            <w:tblPr>
              <w:tblStyle w:val="22"/>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61"/>
              <w:gridCol w:w="1034"/>
              <w:gridCol w:w="997"/>
              <w:gridCol w:w="1098"/>
              <w:gridCol w:w="1293"/>
              <w:gridCol w:w="1181"/>
              <w:gridCol w:w="1134"/>
              <w:gridCol w:w="760"/>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96"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Test number</w:t>
                  </w:r>
                </w:p>
              </w:tc>
              <w:tc>
                <w:tcPr>
                  <w:tcW w:w="106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rPr>
                    <w:t>Bandwidth</w:t>
                  </w:r>
                  <w:r>
                    <w:rPr>
                      <w:rFonts w:hint="default" w:ascii="Times New Roman" w:hAnsi="Times New Roman" w:eastAsia="宋体" w:cs="Times New Roman"/>
                      <w:b/>
                      <w:sz w:val="16"/>
                      <w:szCs w:val="16"/>
                      <w:lang w:eastAsia="zh-CN"/>
                    </w:rPr>
                    <w:t xml:space="preserve"> (MHz)</w:t>
                  </w:r>
                </w:p>
              </w:tc>
              <w:tc>
                <w:tcPr>
                  <w:tcW w:w="1034"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RB</w:t>
                  </w:r>
                </w:p>
              </w:tc>
              <w:tc>
                <w:tcPr>
                  <w:tcW w:w="997"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lang w:eastAsia="zh-CN"/>
                    </w:rPr>
                  </w:pPr>
                  <w:r>
                    <w:rPr>
                      <w:rFonts w:hint="default" w:ascii="Times New Roman" w:hAnsi="Times New Roman" w:eastAsia="宋体" w:cs="Times New Roman"/>
                      <w:b/>
                      <w:sz w:val="16"/>
                      <w:szCs w:val="16"/>
                      <w:lang w:eastAsia="zh-CN"/>
                    </w:rPr>
                    <w:t>CORESET duration</w:t>
                  </w:r>
                </w:p>
              </w:tc>
              <w:tc>
                <w:tcPr>
                  <w:tcW w:w="1098"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Aggregation level</w:t>
                  </w:r>
                </w:p>
              </w:tc>
              <w:tc>
                <w:tcPr>
                  <w:tcW w:w="1293"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Channel</w:t>
                  </w:r>
                </w:p>
              </w:tc>
              <w:tc>
                <w:tcPr>
                  <w:tcW w:w="1181"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Propagation Condition</w:t>
                  </w:r>
                </w:p>
              </w:tc>
              <w:tc>
                <w:tcPr>
                  <w:tcW w:w="1134" w:type="dxa"/>
                  <w:vMerge w:val="restart"/>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Antenna configuration and correlation Matrix</w:t>
                  </w:r>
                </w:p>
              </w:tc>
              <w:tc>
                <w:tcPr>
                  <w:tcW w:w="1418" w:type="dxa"/>
                  <w:gridSpan w:val="2"/>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96"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6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34"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997"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098"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293"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181"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1134" w:type="dxa"/>
                  <w:vMerge w:val="continue"/>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p>
              </w:tc>
              <w:tc>
                <w:tcPr>
                  <w:tcW w:w="760"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Pm-dsg (%)</w:t>
                  </w:r>
                </w:p>
              </w:tc>
              <w:tc>
                <w:tcPr>
                  <w:tcW w:w="658" w:type="dxa"/>
                  <w:vAlign w:val="center"/>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b/>
                      <w:sz w:val="16"/>
                      <w:szCs w:val="16"/>
                    </w:rPr>
                  </w:pPr>
                  <w:r>
                    <w:rPr>
                      <w:rFonts w:hint="default" w:ascii="Times New Roman" w:hAnsi="Times New Roman" w:eastAsia="宋体" w:cs="Times New Roman"/>
                      <w:b/>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6" w:hRule="atLeast"/>
                <w:jc w:val="center"/>
              </w:trPr>
              <w:tc>
                <w:tcPr>
                  <w:tcW w:w="79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10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 xml:space="preserve">10 </w:t>
                  </w:r>
                </w:p>
              </w:tc>
              <w:tc>
                <w:tcPr>
                  <w:tcW w:w="103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24</w:t>
                  </w:r>
                </w:p>
              </w:tc>
              <w:tc>
                <w:tcPr>
                  <w:tcW w:w="99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9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4</w:t>
                  </w:r>
                </w:p>
              </w:tc>
              <w:tc>
                <w:tcPr>
                  <w:tcW w:w="1293"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R.PDCCH. 1-2.2 FDD</w:t>
                  </w:r>
                </w:p>
              </w:tc>
              <w:tc>
                <w:tcPr>
                  <w:tcW w:w="118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3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2x4 Low</w:t>
                  </w:r>
                </w:p>
              </w:tc>
              <w:tc>
                <w:tcPr>
                  <w:tcW w:w="76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1</w:t>
                  </w:r>
                </w:p>
              </w:tc>
              <w:tc>
                <w:tcPr>
                  <w:tcW w:w="65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6" w:hRule="atLeast"/>
                <w:jc w:val="center"/>
              </w:trPr>
              <w:tc>
                <w:tcPr>
                  <w:tcW w:w="79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3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9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w:t>
                  </w:r>
                </w:p>
              </w:tc>
              <w:tc>
                <w:tcPr>
                  <w:tcW w:w="109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93"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 1-2.5 FDD</w:t>
                  </w:r>
                </w:p>
              </w:tc>
              <w:tc>
                <w:tcPr>
                  <w:tcW w:w="118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TDLC300-100</w:t>
                  </w:r>
                </w:p>
              </w:tc>
              <w:tc>
                <w:tcPr>
                  <w:tcW w:w="113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2x4 Low</w:t>
                  </w:r>
                </w:p>
              </w:tc>
              <w:tc>
                <w:tcPr>
                  <w:tcW w:w="76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5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6" w:hRule="atLeast"/>
                <w:jc w:val="center"/>
              </w:trPr>
              <w:tc>
                <w:tcPr>
                  <w:tcW w:w="79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3</w:t>
                  </w:r>
                </w:p>
              </w:tc>
              <w:tc>
                <w:tcPr>
                  <w:tcW w:w="106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10 </w:t>
                  </w:r>
                </w:p>
              </w:tc>
              <w:tc>
                <w:tcPr>
                  <w:tcW w:w="103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48</w:t>
                  </w:r>
                </w:p>
              </w:tc>
              <w:tc>
                <w:tcPr>
                  <w:tcW w:w="997"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9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4</w:t>
                  </w:r>
                </w:p>
              </w:tc>
              <w:tc>
                <w:tcPr>
                  <w:tcW w:w="1293"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rPr>
                    <w:t>R.PDCCH.1-1.2 FDD</w:t>
                  </w:r>
                </w:p>
              </w:tc>
              <w:tc>
                <w:tcPr>
                  <w:tcW w:w="1181"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rPr>
                  </w:pPr>
                  <w:r>
                    <w:rPr>
                      <w:rFonts w:hint="default" w:ascii="Times New Roman" w:hAnsi="Times New Roman" w:eastAsia="宋体" w:cs="Times New Roman"/>
                      <w:sz w:val="16"/>
                      <w:szCs w:val="16"/>
                    </w:rPr>
                    <w:t>TDLA30-10</w:t>
                  </w:r>
                </w:p>
              </w:tc>
              <w:tc>
                <w:tcPr>
                  <w:tcW w:w="1134"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2x4 Low</w:t>
                  </w:r>
                </w:p>
              </w:tc>
              <w:tc>
                <w:tcPr>
                  <w:tcW w:w="76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58"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-1.0</w:t>
                  </w:r>
                </w:p>
              </w:tc>
            </w:tr>
          </w:tbl>
          <w:p>
            <w:pPr>
              <w:pStyle w:val="62"/>
              <w:keepLines w:val="0"/>
              <w:pageBreakBefore w:val="0"/>
              <w:widowControl w:val="0"/>
              <w:kinsoku/>
              <w:wordWrap/>
              <w:overflowPunct w:val="0"/>
              <w:topLinePunct w:val="0"/>
              <w:autoSpaceDE w:val="0"/>
              <w:autoSpaceDN w:val="0"/>
              <w:bidi w:val="0"/>
              <w:adjustRightInd/>
              <w:snapToGrid/>
              <w:spacing w:before="120" w:beforeLines="0" w:after="120" w:afterLines="0" w:line="240" w:lineRule="auto"/>
              <w:ind w:left="0" w:leftChars="0" w:firstLine="0" w:firstLineChars="0"/>
              <w:textAlignment w:val="baseline"/>
              <w:rPr>
                <w:rFonts w:hint="default" w:ascii="Times New Roman" w:hAnsi="Times New Roman" w:cs="Times New Roman"/>
                <w:b/>
                <w:bCs/>
                <w:sz w:val="16"/>
                <w:szCs w:val="16"/>
                <w:vertAlign w:val="baseline"/>
                <w:lang w:val="en-US" w:eastAsia="zh-CN"/>
              </w:rPr>
            </w:pPr>
          </w:p>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5.3.2.2.2-1: Minimum performance for PDCCH with 30 kHz SCS</w:t>
            </w:r>
          </w:p>
          <w:tbl>
            <w:tblPr>
              <w:tblStyle w:val="22"/>
              <w:tblW w:w="10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040"/>
              <w:gridCol w:w="1040"/>
              <w:gridCol w:w="1000"/>
              <w:gridCol w:w="1090"/>
              <w:gridCol w:w="1230"/>
              <w:gridCol w:w="1200"/>
              <w:gridCol w:w="1150"/>
              <w:gridCol w:w="754"/>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Test number</w:t>
                  </w:r>
                </w:p>
              </w:tc>
              <w:tc>
                <w:tcPr>
                  <w:tcW w:w="104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default" w:ascii="Times New Roman" w:hAnsi="Times New Roman" w:cs="Times New Roman"/>
                      <w:sz w:val="16"/>
                      <w:szCs w:val="16"/>
                    </w:rPr>
                    <w:t>Bandwidth</w:t>
                  </w:r>
                  <w:r>
                    <w:rPr>
                      <w:rFonts w:hint="eastAsia" w:ascii="Times New Roman" w:hAnsi="Times New Roman" w:cs="Times New Roman"/>
                      <w:sz w:val="16"/>
                      <w:szCs w:val="16"/>
                      <w:lang w:eastAsia="zh-CN"/>
                    </w:rPr>
                    <w:t xml:space="preserve"> (MHz)</w:t>
                  </w:r>
                </w:p>
              </w:tc>
              <w:tc>
                <w:tcPr>
                  <w:tcW w:w="104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w:t>
                  </w:r>
                  <w:r>
                    <w:rPr>
                      <w:rFonts w:hint="default" w:ascii="Times New Roman" w:hAnsi="Times New Roman" w:cs="Times New Roman"/>
                      <w:sz w:val="16"/>
                      <w:szCs w:val="16"/>
                      <w:lang w:eastAsia="zh-CN"/>
                    </w:rPr>
                    <w:t>ET RB</w:t>
                  </w:r>
                </w:p>
              </w:tc>
              <w:tc>
                <w:tcPr>
                  <w:tcW w:w="10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CORESET duration</w:t>
                  </w:r>
                </w:p>
              </w:tc>
              <w:tc>
                <w:tcPr>
                  <w:tcW w:w="109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Aggregation level</w:t>
                  </w:r>
                </w:p>
              </w:tc>
              <w:tc>
                <w:tcPr>
                  <w:tcW w:w="123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Channel</w:t>
                  </w:r>
                </w:p>
              </w:tc>
              <w:tc>
                <w:tcPr>
                  <w:tcW w:w="12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Propagation Condition</w:t>
                  </w:r>
                </w:p>
              </w:tc>
              <w:tc>
                <w:tcPr>
                  <w:tcW w:w="115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Antenna configuration and correlation Matrix</w:t>
                  </w:r>
                </w:p>
              </w:tc>
              <w:tc>
                <w:tcPr>
                  <w:tcW w:w="1453" w:type="dxa"/>
                  <w:gridSpan w:val="2"/>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4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4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9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23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2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5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754"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Pm-dsg (%)</w:t>
                  </w:r>
                </w:p>
              </w:tc>
              <w:tc>
                <w:tcPr>
                  <w:tcW w:w="699"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1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4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40 </w:t>
                  </w:r>
                </w:p>
              </w:tc>
              <w:tc>
                <w:tcPr>
                  <w:tcW w:w="104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90</w:t>
                  </w:r>
                </w:p>
              </w:tc>
              <w:tc>
                <w:tcPr>
                  <w:tcW w:w="100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9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23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R.PDCCH. 2-1.3 TDD</w:t>
                  </w:r>
                </w:p>
              </w:tc>
              <w:tc>
                <w:tcPr>
                  <w:tcW w:w="120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TDLC300-100</w:t>
                  </w:r>
                </w:p>
              </w:tc>
              <w:tc>
                <w:tcPr>
                  <w:tcW w:w="115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2x2 Low</w:t>
                  </w:r>
                </w:p>
              </w:tc>
              <w:tc>
                <w:tcPr>
                  <w:tcW w:w="754"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99"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-1.2</w:t>
                  </w:r>
                </w:p>
              </w:tc>
            </w:tr>
          </w:tbl>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val="en-US" w:eastAsia="zh-CN"/>
              </w:rPr>
            </w:pPr>
          </w:p>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Table 5.3.3.2.2-1: Minimum performance for PDCCH with 30</w:t>
            </w:r>
            <w:r>
              <w:rPr>
                <w:rFonts w:hint="eastAsia" w:ascii="Times New Roman" w:hAnsi="Times New Roman" w:cs="Times New Roman"/>
                <w:sz w:val="16"/>
                <w:szCs w:val="16"/>
                <w:lang w:eastAsia="zh-CN"/>
              </w:rPr>
              <w:t xml:space="preserve"> </w:t>
            </w:r>
            <w:r>
              <w:rPr>
                <w:rFonts w:hint="default" w:ascii="Times New Roman" w:hAnsi="Times New Roman" w:cs="Times New Roman"/>
                <w:sz w:val="16"/>
                <w:szCs w:val="16"/>
              </w:rPr>
              <w:t>kHz SCS</w:t>
            </w:r>
          </w:p>
          <w:tbl>
            <w:tblPr>
              <w:tblStyle w:val="2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000"/>
              <w:gridCol w:w="1050"/>
              <w:gridCol w:w="1040"/>
              <w:gridCol w:w="1100"/>
              <w:gridCol w:w="1190"/>
              <w:gridCol w:w="1190"/>
              <w:gridCol w:w="1170"/>
              <w:gridCol w:w="740"/>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76"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Test number</w:t>
                  </w:r>
                </w:p>
              </w:tc>
              <w:tc>
                <w:tcPr>
                  <w:tcW w:w="10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default" w:ascii="Times New Roman" w:hAnsi="Times New Roman" w:cs="Times New Roman"/>
                      <w:sz w:val="16"/>
                      <w:szCs w:val="16"/>
                    </w:rPr>
                    <w:t>Bandwidth</w:t>
                  </w:r>
                  <w:r>
                    <w:rPr>
                      <w:rFonts w:hint="eastAsia" w:ascii="Times New Roman" w:hAnsi="Times New Roman" w:cs="Times New Roman"/>
                      <w:sz w:val="16"/>
                      <w:szCs w:val="16"/>
                      <w:lang w:eastAsia="zh-CN"/>
                    </w:rPr>
                    <w:t xml:space="preserve"> (MHz)</w:t>
                  </w:r>
                </w:p>
              </w:tc>
              <w:tc>
                <w:tcPr>
                  <w:tcW w:w="105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w:t>
                  </w:r>
                  <w:r>
                    <w:rPr>
                      <w:rFonts w:hint="default" w:ascii="Times New Roman" w:hAnsi="Times New Roman" w:cs="Times New Roman"/>
                      <w:sz w:val="16"/>
                      <w:szCs w:val="16"/>
                      <w:lang w:eastAsia="zh-CN"/>
                    </w:rPr>
                    <w:t>ET RB</w:t>
                  </w:r>
                </w:p>
              </w:tc>
              <w:tc>
                <w:tcPr>
                  <w:tcW w:w="104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lang w:eastAsia="zh-CN"/>
                    </w:rPr>
                  </w:pPr>
                  <w:r>
                    <w:rPr>
                      <w:rFonts w:hint="eastAsia" w:ascii="Times New Roman" w:hAnsi="Times New Roman" w:cs="Times New Roman"/>
                      <w:sz w:val="16"/>
                      <w:szCs w:val="16"/>
                      <w:lang w:eastAsia="zh-CN"/>
                    </w:rPr>
                    <w:t>CORESET duration</w:t>
                  </w:r>
                </w:p>
              </w:tc>
              <w:tc>
                <w:tcPr>
                  <w:tcW w:w="110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Aggregation level</w:t>
                  </w:r>
                </w:p>
              </w:tc>
              <w:tc>
                <w:tcPr>
                  <w:tcW w:w="119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Channel</w:t>
                  </w:r>
                </w:p>
              </w:tc>
              <w:tc>
                <w:tcPr>
                  <w:tcW w:w="119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Propagation Condition</w:t>
                  </w:r>
                </w:p>
              </w:tc>
              <w:tc>
                <w:tcPr>
                  <w:tcW w:w="1170" w:type="dxa"/>
                  <w:vMerge w:val="restart"/>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Antenna configuration and correlation Matrix</w:t>
                  </w:r>
                </w:p>
              </w:tc>
              <w:tc>
                <w:tcPr>
                  <w:tcW w:w="1341" w:type="dxa"/>
                  <w:gridSpan w:val="2"/>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76"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5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04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0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9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9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1170" w:type="dxa"/>
                  <w:vMerge w:val="continue"/>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p>
              </w:tc>
              <w:tc>
                <w:tcPr>
                  <w:tcW w:w="740"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Pm-dsg (%)</w:t>
                  </w:r>
                </w:p>
              </w:tc>
              <w:tc>
                <w:tcPr>
                  <w:tcW w:w="601" w:type="dxa"/>
                  <w:vAlign w:val="center"/>
                </w:tcPr>
                <w:p>
                  <w:pPr>
                    <w:pStyle w:val="55"/>
                    <w:pageBreakBefore w:val="0"/>
                    <w:kinsoku/>
                    <w:wordWrap/>
                    <w:overflowPunct w:val="0"/>
                    <w:topLinePunct w:val="0"/>
                    <w:autoSpaceDE w:val="0"/>
                    <w:autoSpaceDN w:val="0"/>
                    <w:bidi w:val="0"/>
                    <w:adjustRightInd/>
                    <w:snapToGrid/>
                    <w:spacing w:before="120" w:beforeLines="0" w:after="120" w:afterLines="0" w:line="240" w:lineRule="auto"/>
                    <w:textAlignment w:val="baseline"/>
                    <w:rPr>
                      <w:rFonts w:hint="default" w:ascii="Times New Roman" w:hAnsi="Times New Roman" w:cs="Times New Roman"/>
                      <w:sz w:val="16"/>
                      <w:szCs w:val="16"/>
                    </w:rPr>
                  </w:pPr>
                  <w:r>
                    <w:rPr>
                      <w:rFonts w:hint="default" w:ascii="Times New Roman" w:hAnsi="Times New Roman" w:cs="Times New Roman"/>
                      <w:sz w:val="16"/>
                      <w:szCs w:val="16"/>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6" w:hRule="atLeast"/>
                <w:jc w:val="center"/>
              </w:trPr>
              <w:tc>
                <w:tcPr>
                  <w:tcW w:w="776"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00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40 </w:t>
                  </w:r>
                </w:p>
              </w:tc>
              <w:tc>
                <w:tcPr>
                  <w:tcW w:w="105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90</w:t>
                  </w:r>
                </w:p>
              </w:tc>
              <w:tc>
                <w:tcPr>
                  <w:tcW w:w="104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110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8</w:t>
                  </w:r>
                </w:p>
              </w:tc>
              <w:tc>
                <w:tcPr>
                  <w:tcW w:w="119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 xml:space="preserve">R.PDCCH. </w:t>
                  </w:r>
                  <w:r>
                    <w:rPr>
                      <w:rFonts w:hint="default" w:ascii="Times New Roman" w:hAnsi="Times New Roman" w:eastAsia="宋体" w:cs="Times New Roman"/>
                      <w:sz w:val="16"/>
                      <w:szCs w:val="16"/>
                      <w:lang w:val="en-US" w:eastAsia="zh-CN"/>
                    </w:rPr>
                    <w:t>2</w:t>
                  </w:r>
                  <w:r>
                    <w:rPr>
                      <w:rFonts w:hint="default" w:ascii="Times New Roman" w:hAnsi="Times New Roman" w:eastAsia="宋体" w:cs="Times New Roman"/>
                      <w:sz w:val="16"/>
                      <w:szCs w:val="16"/>
                      <w:lang w:val="ru-RU" w:eastAsia="zh-CN"/>
                    </w:rPr>
                    <w:t>-</w:t>
                  </w:r>
                  <w:r>
                    <w:rPr>
                      <w:rFonts w:hint="default" w:ascii="Times New Roman" w:hAnsi="Times New Roman" w:eastAsia="宋体" w:cs="Times New Roman"/>
                      <w:sz w:val="16"/>
                      <w:szCs w:val="16"/>
                      <w:lang w:val="en-US" w:eastAsia="zh-CN"/>
                    </w:rPr>
                    <w:t>1.</w:t>
                  </w:r>
                  <w:r>
                    <w:rPr>
                      <w:rFonts w:hint="default" w:ascii="Times New Roman" w:hAnsi="Times New Roman" w:eastAsia="宋体" w:cs="Times New Roman"/>
                      <w:sz w:val="16"/>
                      <w:szCs w:val="16"/>
                      <w:lang w:eastAsia="zh-CN"/>
                    </w:rPr>
                    <w:t>3 TDD</w:t>
                  </w:r>
                </w:p>
              </w:tc>
              <w:tc>
                <w:tcPr>
                  <w:tcW w:w="119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TDLC300-100</w:t>
                  </w:r>
                </w:p>
              </w:tc>
              <w:tc>
                <w:tcPr>
                  <w:tcW w:w="1170" w:type="dxa"/>
                  <w:shd w:val="clear" w:color="auto" w:fill="auto"/>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2x4 Low</w:t>
                  </w:r>
                </w:p>
              </w:tc>
              <w:tc>
                <w:tcPr>
                  <w:tcW w:w="740"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default" w:ascii="Times New Roman" w:hAnsi="Times New Roman" w:eastAsia="宋体" w:cs="Times New Roman"/>
                      <w:sz w:val="16"/>
                      <w:szCs w:val="16"/>
                      <w:lang w:eastAsia="zh-CN"/>
                    </w:rPr>
                    <w:t>1</w:t>
                  </w:r>
                </w:p>
              </w:tc>
              <w:tc>
                <w:tcPr>
                  <w:tcW w:w="601" w:type="dxa"/>
                </w:tcPr>
                <w:p>
                  <w:pPr>
                    <w:keepNext/>
                    <w:keepLines/>
                    <w:pageBreakBefore w:val="0"/>
                    <w:kinsoku/>
                    <w:wordWrap/>
                    <w:topLinePunct w:val="0"/>
                    <w:bidi w:val="0"/>
                    <w:adjustRightInd/>
                    <w:snapToGrid/>
                    <w:spacing w:before="120" w:beforeLines="0" w:after="120" w:afterLines="0" w:line="240" w:lineRule="auto"/>
                    <w:jc w:val="center"/>
                    <w:rPr>
                      <w:rFonts w:hint="default" w:ascii="Times New Roman" w:hAnsi="Times New Roman" w:eastAsia="宋体" w:cs="Times New Roman"/>
                      <w:sz w:val="16"/>
                      <w:szCs w:val="16"/>
                      <w:lang w:eastAsia="zh-CN"/>
                    </w:rPr>
                  </w:pPr>
                  <w:r>
                    <w:rPr>
                      <w:rFonts w:hint="eastAsia" w:ascii="Times New Roman" w:hAnsi="Times New Roman" w:eastAsia="宋体" w:cs="Times New Roman"/>
                      <w:sz w:val="16"/>
                      <w:szCs w:val="16"/>
                      <w:lang w:eastAsia="zh-CN"/>
                    </w:rPr>
                    <w:t>-4.3</w:t>
                  </w:r>
                </w:p>
              </w:tc>
            </w:tr>
          </w:tbl>
          <w:p>
            <w:pPr>
              <w:pStyle w:val="62"/>
              <w:keepLines w:val="0"/>
              <w:pageBreakBefore w:val="0"/>
              <w:widowControl w:val="0"/>
              <w:kinsoku/>
              <w:wordWrap/>
              <w:overflowPunct w:val="0"/>
              <w:topLinePunct w:val="0"/>
              <w:autoSpaceDE w:val="0"/>
              <w:autoSpaceDN w:val="0"/>
              <w:bidi w:val="0"/>
              <w:adjustRightInd/>
              <w:snapToGrid/>
              <w:spacing w:before="120" w:beforeLines="0" w:after="120" w:afterLines="0" w:line="240" w:lineRule="auto"/>
              <w:ind w:left="0" w:leftChars="0" w:firstLine="0" w:firstLineChars="0"/>
              <w:textAlignment w:val="baseline"/>
              <w:rPr>
                <w:rFonts w:hint="default" w:ascii="Times New Roman" w:hAnsi="Times New Roman" w:cs="Times New Roman"/>
                <w:b/>
                <w:bCs/>
                <w:sz w:val="16"/>
                <w:szCs w:val="16"/>
                <w:vertAlign w:val="baseline"/>
                <w:lang w:val="en-US" w:eastAsia="zh-CN"/>
              </w:rPr>
            </w:pPr>
          </w:p>
          <w:p>
            <w:pPr>
              <w:pStyle w:val="62"/>
              <w:keepLines w:val="0"/>
              <w:pageBreakBefore w:val="0"/>
              <w:widowControl w:val="0"/>
              <w:kinsoku/>
              <w:wordWrap/>
              <w:overflowPunct w:val="0"/>
              <w:topLinePunct w:val="0"/>
              <w:autoSpaceDE w:val="0"/>
              <w:autoSpaceDN w:val="0"/>
              <w:bidi w:val="0"/>
              <w:adjustRightInd/>
              <w:snapToGrid/>
              <w:spacing w:before="120" w:beforeLines="0" w:after="120" w:afterLines="0" w:line="240" w:lineRule="auto"/>
              <w:ind w:left="0" w:leftChars="0" w:firstLine="0" w:firstLineChars="0"/>
              <w:textAlignment w:val="baseline"/>
              <w:rPr>
                <w:rFonts w:hint="default" w:ascii="Times New Roman" w:hAnsi="Times New Roman" w:cs="Times New Roman"/>
                <w:b/>
                <w:bCs/>
                <w:sz w:val="16"/>
                <w:szCs w:val="16"/>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default"/>
          <w:lang w:val="en-US" w:eastAsia="zh-CN"/>
        </w:rPr>
      </w:pPr>
      <w:r>
        <w:rPr>
          <w:rFonts w:hint="eastAsia"/>
          <w:lang w:val="en-US" w:eastAsia="zh-CN"/>
        </w:rPr>
        <w:t>The above requirements can be considered to be reused for ATG PDCCH requirements.</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eastAsia"/>
          <w:b/>
          <w:bCs/>
          <w:i/>
          <w:iCs/>
          <w:kern w:val="2"/>
          <w:lang w:val="en-US" w:eastAsia="zh-CN"/>
        </w:rPr>
      </w:pPr>
      <w:bookmarkStart w:id="8" w:name="OLE_LINK28"/>
      <w:bookmarkStart w:id="9" w:name="OLE_LINK11"/>
      <w:r>
        <w:rPr>
          <w:rFonts w:hint="eastAsia"/>
          <w:b/>
          <w:bCs/>
          <w:i/>
          <w:iCs/>
          <w:kern w:val="2"/>
          <w:lang w:val="en-US" w:eastAsia="zh-CN"/>
        </w:rPr>
        <w:t>Proposal 1. To consider legacy PDCCH requirements for ATG PDCCH requirements.</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default"/>
          <w:lang w:val="en-US" w:eastAsia="zh-CN"/>
        </w:rPr>
      </w:pPr>
      <w:r>
        <w:rPr>
          <w:rFonts w:hint="eastAsia"/>
          <w:lang w:val="en-US" w:eastAsia="zh-CN"/>
        </w:rPr>
        <w:t>The propagation delay is 1ms assuming the distance between the aircraft and the BS is 300km and the speed is 1200kmph, the distance within 1ms has little effect on the angle which is shown in figure 2-1. Figure 2-1a illustrates the distance relationship for ATG scenario, where point A is the starting position of the cell coverage of BS1 along the flight direction of the aircraft, and point B is the ending position of the cell coverage of BS1. It can be found that the angle variation between UE and BS is very small when the aircraft enters the starting position of the coverage area.</w:t>
      </w:r>
    </w:p>
    <w:p>
      <w:pPr>
        <w:pStyle w:val="62"/>
        <w:keepLines w:val="0"/>
        <w:pageBreakBefore w:val="0"/>
        <w:widowControl w:val="0"/>
        <w:kinsoku/>
        <w:wordWrap/>
        <w:topLinePunct w:val="0"/>
        <w:bidi w:val="0"/>
        <w:adjustRightInd/>
        <w:snapToGrid/>
        <w:spacing w:before="120" w:beforeLines="0" w:after="120" w:afterLines="0"/>
        <w:ind w:left="0" w:firstLine="0"/>
        <w:jc w:val="center"/>
      </w:pPr>
      <w:r>
        <w:drawing>
          <wp:inline distT="0" distB="0" distL="114300" distR="114300">
            <wp:extent cx="4899660" cy="135636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899660" cy="1356360"/>
                    </a:xfrm>
                    <a:prstGeom prst="rect">
                      <a:avLst/>
                    </a:prstGeom>
                    <a:noFill/>
                    <a:ln>
                      <a:noFill/>
                    </a:ln>
                  </pic:spPr>
                </pic:pic>
              </a:graphicData>
            </a:graphic>
          </wp:inline>
        </w:drawing>
      </w:r>
    </w:p>
    <w:p>
      <w:pPr>
        <w:pStyle w:val="62"/>
        <w:keepLines w:val="0"/>
        <w:pageBreakBefore w:val="0"/>
        <w:widowControl w:val="0"/>
        <w:kinsoku/>
        <w:wordWrap/>
        <w:topLinePunct w:val="0"/>
        <w:bidi w:val="0"/>
        <w:adjustRightInd/>
        <w:snapToGrid/>
        <w:spacing w:before="120" w:beforeLines="0" w:after="120" w:afterLines="0"/>
        <w:ind w:left="0" w:firstLine="0"/>
        <w:jc w:val="center"/>
        <w:rPr>
          <w:rFonts w:hint="default"/>
          <w:lang w:val="en-US" w:eastAsia="zh-CN"/>
        </w:rPr>
      </w:pPr>
      <w:r>
        <w:rPr>
          <w:rFonts w:hint="eastAsia"/>
          <w:lang w:val="en-US" w:eastAsia="zh-CN"/>
        </w:rPr>
        <w:t>Figure 2-1a, Location and distance relationship of ATG deployment</w:t>
      </w:r>
    </w:p>
    <w:p>
      <w:pPr>
        <w:pStyle w:val="62"/>
        <w:keepLines w:val="0"/>
        <w:pageBreakBefore w:val="0"/>
        <w:widowControl w:val="0"/>
        <w:kinsoku/>
        <w:wordWrap/>
        <w:topLinePunct w:val="0"/>
        <w:bidi w:val="0"/>
        <w:adjustRightInd/>
        <w:snapToGrid/>
        <w:spacing w:before="120" w:beforeLines="0" w:after="120" w:afterLines="0"/>
        <w:ind w:left="0" w:firstLine="0"/>
        <w:jc w:val="center"/>
      </w:pPr>
      <w:r>
        <w:drawing>
          <wp:inline distT="0" distB="0" distL="114300" distR="114300">
            <wp:extent cx="4991100" cy="10668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991100" cy="1066800"/>
                    </a:xfrm>
                    <a:prstGeom prst="rect">
                      <a:avLst/>
                    </a:prstGeom>
                    <a:noFill/>
                    <a:ln>
                      <a:noFill/>
                    </a:ln>
                  </pic:spPr>
                </pic:pic>
              </a:graphicData>
            </a:graphic>
          </wp:inline>
        </w:drawing>
      </w:r>
    </w:p>
    <w:p>
      <w:pPr>
        <w:pStyle w:val="62"/>
        <w:keepNext w:val="0"/>
        <w:keepLines w:val="0"/>
        <w:pageBreakBefore w:val="0"/>
        <w:widowControl w:val="0"/>
        <w:kinsoku/>
        <w:wordWrap/>
        <w:topLinePunct w:val="0"/>
        <w:bidi w:val="0"/>
        <w:adjustRightInd/>
        <w:snapToGrid/>
        <w:spacing w:before="120" w:beforeLines="0" w:after="120" w:afterLines="0"/>
        <w:ind w:left="0" w:firstLine="0"/>
        <w:jc w:val="center"/>
        <w:rPr>
          <w:rFonts w:hint="default"/>
          <w:lang w:val="en-US" w:eastAsia="zh-CN"/>
        </w:rPr>
      </w:pPr>
      <w:r>
        <w:rPr>
          <w:rFonts w:hint="eastAsia"/>
          <w:lang w:val="en-US" w:eastAsia="zh-CN"/>
        </w:rPr>
        <w:t>Figure 2-1b, Angle between UE and BS when the aircraft enters the starting point of the coverage area and the angle between the two after 1ms</w:t>
      </w:r>
    </w:p>
    <w:p>
      <w:pPr>
        <w:pStyle w:val="62"/>
        <w:keepNext w:val="0"/>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r>
        <w:rPr>
          <w:rFonts w:hint="eastAsia"/>
          <w:lang w:val="en-US" w:eastAsia="zh-CN"/>
        </w:rPr>
        <w:t xml:space="preserve">From figure 2-1, it can be seen that the change in angle within 1ms (propagation delay) is negligible. And table 2-1 lists some angle variation </w:t>
      </w:r>
      <w:r>
        <w:rPr>
          <w:rFonts w:hint="eastAsia"/>
          <w:vertAlign w:val="baseline"/>
          <w:lang w:val="en-US" w:eastAsia="zh-CN"/>
        </w:rPr>
        <w:t xml:space="preserve">relative to starting point </w:t>
      </w:r>
      <w:r>
        <w:rPr>
          <w:rFonts w:hint="eastAsia"/>
          <w:lang w:val="en-US" w:eastAsia="zh-CN"/>
        </w:rPr>
        <w:t>for different time elapsed.</w:t>
      </w:r>
    </w:p>
    <w:p>
      <w:pPr>
        <w:pStyle w:val="62"/>
        <w:keepNext w:val="0"/>
        <w:keepLines w:val="0"/>
        <w:pageBreakBefore w:val="0"/>
        <w:widowControl w:val="0"/>
        <w:kinsoku/>
        <w:wordWrap/>
        <w:topLinePunct w:val="0"/>
        <w:bidi w:val="0"/>
        <w:adjustRightInd/>
        <w:snapToGrid/>
        <w:spacing w:before="120" w:beforeLines="0" w:after="120" w:afterLines="0"/>
        <w:ind w:left="0" w:firstLine="0"/>
        <w:jc w:val="center"/>
        <w:rPr>
          <w:rFonts w:hint="default"/>
          <w:lang w:val="en-US" w:eastAsia="zh-CN"/>
        </w:rPr>
      </w:pPr>
      <w:r>
        <w:rPr>
          <w:rFonts w:hint="eastAsia"/>
          <w:lang w:val="en-US" w:eastAsia="zh-CN"/>
        </w:rPr>
        <w:t>Table 2-1 time elapse vs angle variation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Time elapsed</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 xml:space="preserve">Angle variation(degree)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10ms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100ms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default"/>
                <w:vertAlign w:val="baseline"/>
                <w:lang w:val="en-US" w:eastAsia="zh-CN"/>
              </w:rPr>
            </w:pPr>
            <w:r>
              <w:rPr>
                <w:rFonts w:hint="eastAsia"/>
                <w:vertAlign w:val="baseline"/>
                <w:lang w:val="en-US" w:eastAsia="zh-CN"/>
              </w:rPr>
              <w:t>1000ms</w:t>
            </w:r>
          </w:p>
        </w:tc>
        <w:tc>
          <w:tcPr>
            <w:tcW w:w="0" w:type="auto"/>
          </w:tcPr>
          <w:p>
            <w:pPr>
              <w:pStyle w:val="62"/>
              <w:keepNext w:val="0"/>
              <w:keepLines w:val="0"/>
              <w:pageBreakBefore w:val="0"/>
              <w:widowControl w:val="0"/>
              <w:kinsoku/>
              <w:wordWrap/>
              <w:overflowPunct w:val="0"/>
              <w:topLinePunct w:val="0"/>
              <w:autoSpaceDE w:val="0"/>
              <w:autoSpaceDN w:val="0"/>
              <w:bidi w:val="0"/>
              <w:adjustRightInd/>
              <w:snapToGrid/>
              <w:spacing w:before="120" w:beforeLines="0" w:after="120" w:afterLines="0"/>
              <w:ind w:left="0" w:leftChars="0" w:firstLine="0" w:firstLineChars="0"/>
              <w:textAlignment w:val="baseline"/>
              <w:rPr>
                <w:rFonts w:hint="eastAsia"/>
                <w:vertAlign w:val="baseline"/>
                <w:lang w:val="en-US" w:eastAsia="zh-CN"/>
              </w:rPr>
            </w:pPr>
            <w:r>
              <w:rPr>
                <w:rFonts w:hint="eastAsia"/>
                <w:vertAlign w:val="baseline"/>
                <w:lang w:val="en-US" w:eastAsia="zh-CN"/>
              </w:rPr>
              <w:t>0.0381</w:t>
            </w:r>
          </w:p>
        </w:tc>
      </w:tr>
    </w:tbl>
    <w:p>
      <w:pPr>
        <w:pStyle w:val="62"/>
        <w:keepNext w:val="0"/>
        <w:keepLines w:val="0"/>
        <w:pageBreakBefore w:val="0"/>
        <w:widowControl w:val="0"/>
        <w:kinsoku/>
        <w:wordWrap/>
        <w:topLinePunct w:val="0"/>
        <w:bidi w:val="0"/>
        <w:adjustRightInd/>
        <w:snapToGrid/>
        <w:spacing w:before="120" w:beforeLines="0" w:after="120" w:afterLines="0"/>
        <w:ind w:left="0" w:firstLine="0"/>
        <w:rPr>
          <w:rFonts w:hint="eastAsia"/>
          <w:lang w:val="en-US" w:eastAsia="zh-CN"/>
        </w:rPr>
      </w:pPr>
      <w:r>
        <w:rPr>
          <w:rFonts w:hint="eastAsia"/>
          <w:lang w:val="en-US" w:eastAsia="zh-CN"/>
        </w:rPr>
        <w:t>It can be found that the angle variation within up to 1000ms is negligible based on the above analysis. Therefore the PMI reporting can be considered for ATG deployment.</w:t>
      </w:r>
    </w:p>
    <w:p>
      <w:pPr>
        <w:pStyle w:val="62"/>
        <w:keepNext w:val="0"/>
        <w:keepLines w:val="0"/>
        <w:pageBreakBefore w:val="0"/>
        <w:widowControl w:val="0"/>
        <w:kinsoku/>
        <w:wordWrap/>
        <w:topLinePunct w:val="0"/>
        <w:bidi w:val="0"/>
        <w:adjustRightInd/>
        <w:snapToGrid/>
        <w:spacing w:before="120" w:beforeLines="0" w:after="120" w:afterLines="0"/>
        <w:ind w:left="0" w:firstLine="0"/>
        <w:rPr>
          <w:rFonts w:hint="default"/>
          <w:lang w:val="en-US" w:eastAsia="zh-CN"/>
        </w:rPr>
      </w:pPr>
      <w:r>
        <w:rPr>
          <w:rFonts w:hint="default"/>
          <w:lang w:val="en-US" w:eastAsia="zh-CN"/>
        </w:rPr>
        <w:t xml:space="preserve">Similar to PMI analysis, </w:t>
      </w:r>
      <w:r>
        <w:rPr>
          <w:rFonts w:hint="eastAsia"/>
          <w:lang w:val="en-US" w:eastAsia="zh-CN"/>
        </w:rPr>
        <w:t xml:space="preserve">it is expected that </w:t>
      </w:r>
      <w:r>
        <w:rPr>
          <w:rFonts w:hint="default"/>
          <w:lang w:val="en-US" w:eastAsia="zh-CN"/>
        </w:rPr>
        <w:t xml:space="preserve">CQI </w:t>
      </w:r>
      <w:r>
        <w:rPr>
          <w:rFonts w:hint="eastAsia"/>
          <w:lang w:val="en-US" w:eastAsia="zh-CN"/>
        </w:rPr>
        <w:t>does</w:t>
      </w:r>
      <w:r>
        <w:rPr>
          <w:rFonts w:hint="default"/>
          <w:lang w:val="en-US" w:eastAsia="zh-CN"/>
        </w:rPr>
        <w:t xml:space="preserve"> not change significantly within a propagation delay time.</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1. CSI reporting such PMI and CQI is feasible for ATG scenario.</w:t>
      </w:r>
    </w:p>
    <w:p>
      <w:pPr>
        <w:pStyle w:val="62"/>
        <w:keepLines w:val="0"/>
        <w:widowControl w:val="0"/>
        <w:spacing w:before="120" w:after="120"/>
        <w:ind w:left="0" w:firstLine="0"/>
        <w:rPr>
          <w:rFonts w:hint="default"/>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r>
        <w:rPr>
          <w:rFonts w:hint="eastAsia"/>
          <w:sz w:val="20"/>
        </w:rPr>
        <w:t xml:space="preserve">In this contribution, we give some </w:t>
      </w:r>
      <w:r>
        <w:rPr>
          <w:rFonts w:hint="eastAsia"/>
          <w:sz w:val="20"/>
          <w:lang w:val="en-US" w:eastAsia="zh-CN"/>
        </w:rPr>
        <w:t>conclusions</w:t>
      </w:r>
      <w:r>
        <w:rPr>
          <w:rFonts w:hint="eastAsia"/>
          <w:sz w:val="20"/>
        </w:rPr>
        <w:t xml:space="preserve"> for </w:t>
      </w:r>
      <w:r>
        <w:rPr>
          <w:rFonts w:hint="eastAsia"/>
          <w:sz w:val="20"/>
          <w:lang w:val="en-US" w:eastAsia="zh-CN"/>
        </w:rPr>
        <w:t xml:space="preserve">ATG </w:t>
      </w:r>
      <w:r>
        <w:rPr>
          <w:rFonts w:hint="eastAsia"/>
          <w:sz w:val="20"/>
        </w:rPr>
        <w:t>UE</w:t>
      </w:r>
      <w:r>
        <w:rPr>
          <w:rFonts w:hint="eastAsia"/>
          <w:sz w:val="20"/>
          <w:lang w:val="en-US" w:eastAsia="zh-CN"/>
        </w:rPr>
        <w:t xml:space="preserve"> demodulation</w:t>
      </w:r>
      <w:r>
        <w:rPr>
          <w:rFonts w:hint="eastAsia"/>
          <w:sz w:val="20"/>
        </w:rPr>
        <w:t>.</w:t>
      </w:r>
      <w:r>
        <w:rPr>
          <w:rFonts w:hint="eastAsia"/>
          <w:sz w:val="20"/>
          <w:lang w:val="en-US" w:eastAsia="zh-CN"/>
        </w:rPr>
        <w:t xml:space="preserve"> </w:t>
      </w:r>
      <w:r>
        <w:rPr>
          <w:rFonts w:hint="eastAsia"/>
          <w:bCs/>
          <w:kern w:val="0"/>
          <w:szCs w:val="21"/>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lang w:val="en-US" w:eastAsia="zh-CN"/>
        </w:rPr>
      </w:pPr>
      <w:r>
        <w:rPr>
          <w:rFonts w:hint="eastAsia"/>
          <w:b/>
          <w:bCs/>
          <w:i/>
          <w:iCs/>
          <w:kern w:val="2"/>
          <w:lang w:val="en-US" w:eastAsia="zh-CN"/>
        </w:rPr>
        <w:t>Observation 1. CSI reporting such PMI and CQI is feasible for ATG scenario.</w:t>
      </w:r>
    </w:p>
    <w:p>
      <w:pPr>
        <w:pStyle w:val="62"/>
        <w:keepNext w:val="0"/>
        <w:keepLines w:val="0"/>
        <w:pageBreakBefore w:val="0"/>
        <w:widowControl w:val="0"/>
        <w:kinsoku/>
        <w:wordWrap/>
        <w:overflowPunct/>
        <w:topLinePunct w:val="0"/>
        <w:autoSpaceDE/>
        <w:autoSpaceDN/>
        <w:bidi w:val="0"/>
        <w:adjustRightInd/>
        <w:snapToGrid/>
        <w:spacing w:before="120" w:beforeLines="0" w:after="120" w:afterLines="0"/>
        <w:ind w:left="0" w:firstLine="0"/>
        <w:textAlignment w:val="auto"/>
        <w:rPr>
          <w:rFonts w:hint="eastAsia"/>
          <w:b/>
          <w:bCs/>
          <w:i/>
          <w:iCs/>
          <w:kern w:val="2"/>
          <w:lang w:val="en-US" w:eastAsia="zh-CN"/>
        </w:rPr>
      </w:pPr>
      <w:r>
        <w:rPr>
          <w:rFonts w:hint="eastAsia"/>
          <w:b/>
          <w:bCs/>
          <w:i/>
          <w:iCs/>
          <w:kern w:val="2"/>
          <w:lang w:val="en-US" w:eastAsia="zh-CN"/>
        </w:rPr>
        <w:t>Proposal 1. To consider legacy PDCCH requirements for ATG P</w:t>
      </w:r>
      <w:bookmarkStart w:id="11" w:name="_GoBack"/>
      <w:bookmarkEnd w:id="11"/>
      <w:r>
        <w:rPr>
          <w:rFonts w:hint="eastAsia"/>
          <w:b/>
          <w:bCs/>
          <w:i/>
          <w:iCs/>
          <w:kern w:val="2"/>
          <w:lang w:val="en-US" w:eastAsia="zh-CN"/>
        </w:rPr>
        <w:t>DCCH requirements.</w:t>
      </w:r>
    </w:p>
    <w:p>
      <w:pPr>
        <w:pStyle w:val="62"/>
        <w:keepLines w:val="0"/>
        <w:widowControl w:val="0"/>
        <w:spacing w:before="120" w:after="120"/>
        <w:ind w:left="0" w:firstLine="0"/>
        <w:rPr>
          <w:rFonts w:hint="default"/>
          <w:b/>
          <w:bCs/>
          <w:i/>
          <w:iCs/>
          <w:kern w:val="2"/>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RP-230279, Revised WID on Air-to-ground network for NR,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R4-2309796</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default"/>
          <w:lang w:val="en-US" w:eastAsia="zh-CN"/>
        </w:rPr>
      </w:pPr>
      <w:r>
        <w:rPr>
          <w:rFonts w:hint="eastAsia"/>
          <w:sz w:val="20"/>
          <w:lang w:val="en-US" w:eastAsia="zh-CN"/>
        </w:rPr>
        <w:t>[3]  3GPP TS 38101 v17.8.0</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4A56"/>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6328EC"/>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43EAB"/>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3F113F"/>
    <w:rsid w:val="03445E8F"/>
    <w:rsid w:val="03496C64"/>
    <w:rsid w:val="035154D3"/>
    <w:rsid w:val="03527C38"/>
    <w:rsid w:val="0356746F"/>
    <w:rsid w:val="036E37C2"/>
    <w:rsid w:val="03746F87"/>
    <w:rsid w:val="03814F5B"/>
    <w:rsid w:val="03854841"/>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6B114E"/>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41E3"/>
    <w:rsid w:val="078164FC"/>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0C540F"/>
    <w:rsid w:val="09306537"/>
    <w:rsid w:val="09355076"/>
    <w:rsid w:val="09392119"/>
    <w:rsid w:val="09445E95"/>
    <w:rsid w:val="09543B3B"/>
    <w:rsid w:val="09600FBD"/>
    <w:rsid w:val="0972595C"/>
    <w:rsid w:val="09777439"/>
    <w:rsid w:val="098143BC"/>
    <w:rsid w:val="098500F1"/>
    <w:rsid w:val="09B060BF"/>
    <w:rsid w:val="09B21695"/>
    <w:rsid w:val="09BD407A"/>
    <w:rsid w:val="09DA0E26"/>
    <w:rsid w:val="09E55691"/>
    <w:rsid w:val="09F67CD5"/>
    <w:rsid w:val="09FB117F"/>
    <w:rsid w:val="0A054821"/>
    <w:rsid w:val="0A0835C8"/>
    <w:rsid w:val="0A145721"/>
    <w:rsid w:val="0A355EAA"/>
    <w:rsid w:val="0A3708FF"/>
    <w:rsid w:val="0A3B01F9"/>
    <w:rsid w:val="0A3F0488"/>
    <w:rsid w:val="0A402A36"/>
    <w:rsid w:val="0A4236A3"/>
    <w:rsid w:val="0A475859"/>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3BA1"/>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0D18A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B339C"/>
    <w:rsid w:val="0E2F216B"/>
    <w:rsid w:val="0E3352C6"/>
    <w:rsid w:val="0E3A5EE2"/>
    <w:rsid w:val="0E4D4690"/>
    <w:rsid w:val="0E542F3B"/>
    <w:rsid w:val="0E6271DF"/>
    <w:rsid w:val="0E81568A"/>
    <w:rsid w:val="0E911AB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659B7"/>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06EEA"/>
    <w:rsid w:val="10853AA6"/>
    <w:rsid w:val="108A3C83"/>
    <w:rsid w:val="108C2479"/>
    <w:rsid w:val="10C715C5"/>
    <w:rsid w:val="10D335EF"/>
    <w:rsid w:val="10E746EA"/>
    <w:rsid w:val="10E83FE0"/>
    <w:rsid w:val="10EC3168"/>
    <w:rsid w:val="10F52718"/>
    <w:rsid w:val="1118129A"/>
    <w:rsid w:val="114028DC"/>
    <w:rsid w:val="1141355F"/>
    <w:rsid w:val="11634555"/>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2FD7344"/>
    <w:rsid w:val="130165F7"/>
    <w:rsid w:val="1307341C"/>
    <w:rsid w:val="130B72E3"/>
    <w:rsid w:val="130C40FE"/>
    <w:rsid w:val="130E3629"/>
    <w:rsid w:val="130F03EB"/>
    <w:rsid w:val="131A4B0F"/>
    <w:rsid w:val="131B39DD"/>
    <w:rsid w:val="13283BA4"/>
    <w:rsid w:val="13332F77"/>
    <w:rsid w:val="13334E1C"/>
    <w:rsid w:val="13346EE4"/>
    <w:rsid w:val="13384952"/>
    <w:rsid w:val="13391593"/>
    <w:rsid w:val="1355107F"/>
    <w:rsid w:val="135D4D2E"/>
    <w:rsid w:val="1366638D"/>
    <w:rsid w:val="136D76E8"/>
    <w:rsid w:val="137266E0"/>
    <w:rsid w:val="13735B23"/>
    <w:rsid w:val="138141DF"/>
    <w:rsid w:val="138D6435"/>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6934A0"/>
    <w:rsid w:val="1574662E"/>
    <w:rsid w:val="15751882"/>
    <w:rsid w:val="1575191B"/>
    <w:rsid w:val="157818C6"/>
    <w:rsid w:val="159F73BB"/>
    <w:rsid w:val="15A7537A"/>
    <w:rsid w:val="15B03F28"/>
    <w:rsid w:val="15B95373"/>
    <w:rsid w:val="15E30A80"/>
    <w:rsid w:val="15E73E3D"/>
    <w:rsid w:val="16014E2C"/>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67643"/>
    <w:rsid w:val="185D1883"/>
    <w:rsid w:val="185E3AA1"/>
    <w:rsid w:val="18812331"/>
    <w:rsid w:val="18816F1C"/>
    <w:rsid w:val="18853F3E"/>
    <w:rsid w:val="18956393"/>
    <w:rsid w:val="189859AD"/>
    <w:rsid w:val="189E098C"/>
    <w:rsid w:val="18A8582C"/>
    <w:rsid w:val="18B50543"/>
    <w:rsid w:val="18B60776"/>
    <w:rsid w:val="18C9089D"/>
    <w:rsid w:val="18CA40C3"/>
    <w:rsid w:val="18CD7A02"/>
    <w:rsid w:val="18ED46F4"/>
    <w:rsid w:val="19001FFC"/>
    <w:rsid w:val="190A2271"/>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73355"/>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00DAD"/>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04C44"/>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D603F4"/>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B136B"/>
    <w:rsid w:val="20EC3F2E"/>
    <w:rsid w:val="20EC7C3E"/>
    <w:rsid w:val="210548E9"/>
    <w:rsid w:val="21124D15"/>
    <w:rsid w:val="211C6B81"/>
    <w:rsid w:val="21394D98"/>
    <w:rsid w:val="213E7119"/>
    <w:rsid w:val="21530058"/>
    <w:rsid w:val="21732704"/>
    <w:rsid w:val="217D15BC"/>
    <w:rsid w:val="21810744"/>
    <w:rsid w:val="218D6EF5"/>
    <w:rsid w:val="2195668B"/>
    <w:rsid w:val="219F69EC"/>
    <w:rsid w:val="21A130EA"/>
    <w:rsid w:val="21AB278B"/>
    <w:rsid w:val="21C267BF"/>
    <w:rsid w:val="21CD6BCD"/>
    <w:rsid w:val="21CE6067"/>
    <w:rsid w:val="21CF439A"/>
    <w:rsid w:val="21D04BBA"/>
    <w:rsid w:val="21F00127"/>
    <w:rsid w:val="221D2FA3"/>
    <w:rsid w:val="2226635F"/>
    <w:rsid w:val="222D4F0B"/>
    <w:rsid w:val="223D7545"/>
    <w:rsid w:val="22411D14"/>
    <w:rsid w:val="22423BE1"/>
    <w:rsid w:val="22454449"/>
    <w:rsid w:val="22500810"/>
    <w:rsid w:val="226347BD"/>
    <w:rsid w:val="22682935"/>
    <w:rsid w:val="226D66AC"/>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3B2F20"/>
    <w:rsid w:val="244168F2"/>
    <w:rsid w:val="2458381E"/>
    <w:rsid w:val="245872F9"/>
    <w:rsid w:val="245943D9"/>
    <w:rsid w:val="245E6B64"/>
    <w:rsid w:val="2463385E"/>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132C4B"/>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171746"/>
    <w:rsid w:val="2B214776"/>
    <w:rsid w:val="2B2843BE"/>
    <w:rsid w:val="2B2B6079"/>
    <w:rsid w:val="2B313FC1"/>
    <w:rsid w:val="2B347C14"/>
    <w:rsid w:val="2B39348E"/>
    <w:rsid w:val="2B3B2EA6"/>
    <w:rsid w:val="2B437285"/>
    <w:rsid w:val="2B474E9C"/>
    <w:rsid w:val="2B494377"/>
    <w:rsid w:val="2B4D695C"/>
    <w:rsid w:val="2B514803"/>
    <w:rsid w:val="2B55717E"/>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2E4E0C"/>
    <w:rsid w:val="2C3A7BF6"/>
    <w:rsid w:val="2C425BCE"/>
    <w:rsid w:val="2C44676A"/>
    <w:rsid w:val="2C495C38"/>
    <w:rsid w:val="2C4A080C"/>
    <w:rsid w:val="2C54533B"/>
    <w:rsid w:val="2C591378"/>
    <w:rsid w:val="2C642BA5"/>
    <w:rsid w:val="2C797A76"/>
    <w:rsid w:val="2C8106E0"/>
    <w:rsid w:val="2C8F4862"/>
    <w:rsid w:val="2C9E5AC8"/>
    <w:rsid w:val="2CA2721B"/>
    <w:rsid w:val="2CAC6D87"/>
    <w:rsid w:val="2CB600FC"/>
    <w:rsid w:val="2CBB2852"/>
    <w:rsid w:val="2CE755FE"/>
    <w:rsid w:val="2CE8526F"/>
    <w:rsid w:val="2D026315"/>
    <w:rsid w:val="2D0764BD"/>
    <w:rsid w:val="2D0B3169"/>
    <w:rsid w:val="2D0D4219"/>
    <w:rsid w:val="2D2372A1"/>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B50A57"/>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97B68"/>
    <w:rsid w:val="2EBC2287"/>
    <w:rsid w:val="2EC314A8"/>
    <w:rsid w:val="2ECA3116"/>
    <w:rsid w:val="2EDD7896"/>
    <w:rsid w:val="2EEA6E65"/>
    <w:rsid w:val="2EF33C7C"/>
    <w:rsid w:val="2F00052B"/>
    <w:rsid w:val="2F0367CD"/>
    <w:rsid w:val="2F1251F2"/>
    <w:rsid w:val="2F2D445E"/>
    <w:rsid w:val="2F430EF4"/>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1E54CF"/>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BC5717"/>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AF2B4C"/>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761CF"/>
    <w:rsid w:val="360D1C5B"/>
    <w:rsid w:val="36121506"/>
    <w:rsid w:val="36182B79"/>
    <w:rsid w:val="361D7A43"/>
    <w:rsid w:val="361F3323"/>
    <w:rsid w:val="36402EFA"/>
    <w:rsid w:val="36496A51"/>
    <w:rsid w:val="364E486B"/>
    <w:rsid w:val="365623F6"/>
    <w:rsid w:val="368230C6"/>
    <w:rsid w:val="36843A03"/>
    <w:rsid w:val="368F7E4F"/>
    <w:rsid w:val="36985297"/>
    <w:rsid w:val="369F633B"/>
    <w:rsid w:val="36A30FDB"/>
    <w:rsid w:val="36A7007C"/>
    <w:rsid w:val="36B24AE8"/>
    <w:rsid w:val="36BD0DC4"/>
    <w:rsid w:val="36D51D00"/>
    <w:rsid w:val="36D66B5E"/>
    <w:rsid w:val="36E040A5"/>
    <w:rsid w:val="36E93760"/>
    <w:rsid w:val="36FB4305"/>
    <w:rsid w:val="3708505E"/>
    <w:rsid w:val="3708597F"/>
    <w:rsid w:val="3709624C"/>
    <w:rsid w:val="37096815"/>
    <w:rsid w:val="370F7060"/>
    <w:rsid w:val="37134801"/>
    <w:rsid w:val="37173233"/>
    <w:rsid w:val="371C344E"/>
    <w:rsid w:val="371C7953"/>
    <w:rsid w:val="37226558"/>
    <w:rsid w:val="3734159D"/>
    <w:rsid w:val="37382526"/>
    <w:rsid w:val="373B4C89"/>
    <w:rsid w:val="37457841"/>
    <w:rsid w:val="37503E6C"/>
    <w:rsid w:val="3758590A"/>
    <w:rsid w:val="375E77B2"/>
    <w:rsid w:val="37602E60"/>
    <w:rsid w:val="37736F26"/>
    <w:rsid w:val="378229A7"/>
    <w:rsid w:val="3784394E"/>
    <w:rsid w:val="37987437"/>
    <w:rsid w:val="379F33FC"/>
    <w:rsid w:val="37A432E4"/>
    <w:rsid w:val="37A86196"/>
    <w:rsid w:val="37AD1354"/>
    <w:rsid w:val="37BA0A6C"/>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9C2EC2"/>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14A37"/>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C66DC"/>
    <w:rsid w:val="3ABF30D9"/>
    <w:rsid w:val="3AC17E3A"/>
    <w:rsid w:val="3ACB5746"/>
    <w:rsid w:val="3ACE209E"/>
    <w:rsid w:val="3ADD1594"/>
    <w:rsid w:val="3ADD2B05"/>
    <w:rsid w:val="3AE417E3"/>
    <w:rsid w:val="3AE440AF"/>
    <w:rsid w:val="3AF7667E"/>
    <w:rsid w:val="3AFC4F68"/>
    <w:rsid w:val="3B0F4055"/>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8F603D"/>
    <w:rsid w:val="3D94235D"/>
    <w:rsid w:val="3D9461E1"/>
    <w:rsid w:val="3DB34E86"/>
    <w:rsid w:val="3DB90549"/>
    <w:rsid w:val="3DC46444"/>
    <w:rsid w:val="3DED0F96"/>
    <w:rsid w:val="3DF95812"/>
    <w:rsid w:val="3E1D4B24"/>
    <w:rsid w:val="3E3A04FA"/>
    <w:rsid w:val="3E3C6901"/>
    <w:rsid w:val="3E3D6B96"/>
    <w:rsid w:val="3E441C7D"/>
    <w:rsid w:val="3E490256"/>
    <w:rsid w:val="3E55739E"/>
    <w:rsid w:val="3E610D47"/>
    <w:rsid w:val="3E6C43C8"/>
    <w:rsid w:val="3E8227F0"/>
    <w:rsid w:val="3E937F82"/>
    <w:rsid w:val="3E971D33"/>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5A739F"/>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BE48DA"/>
    <w:rsid w:val="40EC7D18"/>
    <w:rsid w:val="40ED11A0"/>
    <w:rsid w:val="40FD1BF0"/>
    <w:rsid w:val="40FE7A3D"/>
    <w:rsid w:val="41096BC0"/>
    <w:rsid w:val="410A75B6"/>
    <w:rsid w:val="410B452A"/>
    <w:rsid w:val="41146D26"/>
    <w:rsid w:val="413353F1"/>
    <w:rsid w:val="41513BC9"/>
    <w:rsid w:val="41735B7F"/>
    <w:rsid w:val="419E60D3"/>
    <w:rsid w:val="41A059E7"/>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31969"/>
    <w:rsid w:val="426973AD"/>
    <w:rsid w:val="426F56CA"/>
    <w:rsid w:val="427A67A1"/>
    <w:rsid w:val="427E0B36"/>
    <w:rsid w:val="4297411D"/>
    <w:rsid w:val="42A03D98"/>
    <w:rsid w:val="42A729F1"/>
    <w:rsid w:val="42B46EA8"/>
    <w:rsid w:val="42B94BC1"/>
    <w:rsid w:val="42C30254"/>
    <w:rsid w:val="42C42A08"/>
    <w:rsid w:val="42C7649B"/>
    <w:rsid w:val="42D064B1"/>
    <w:rsid w:val="42D41F6D"/>
    <w:rsid w:val="42D5342A"/>
    <w:rsid w:val="42DE48A3"/>
    <w:rsid w:val="42E16058"/>
    <w:rsid w:val="42F17BF5"/>
    <w:rsid w:val="42F30D8B"/>
    <w:rsid w:val="42F87EC9"/>
    <w:rsid w:val="42FA45BF"/>
    <w:rsid w:val="42FD5099"/>
    <w:rsid w:val="430E7E66"/>
    <w:rsid w:val="432205F2"/>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33E21"/>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358D5"/>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6C3DBE"/>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BE78EA"/>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0D0282"/>
    <w:rsid w:val="491B63DF"/>
    <w:rsid w:val="491D63E9"/>
    <w:rsid w:val="4932285C"/>
    <w:rsid w:val="49384E02"/>
    <w:rsid w:val="493B6EB4"/>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85BF6"/>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184951"/>
    <w:rsid w:val="4B250CF8"/>
    <w:rsid w:val="4B2873FD"/>
    <w:rsid w:val="4B326C76"/>
    <w:rsid w:val="4B3D4DE9"/>
    <w:rsid w:val="4B492D39"/>
    <w:rsid w:val="4B533766"/>
    <w:rsid w:val="4B603DD2"/>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336B9"/>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16CD5"/>
    <w:rsid w:val="4EF24828"/>
    <w:rsid w:val="4EF463F8"/>
    <w:rsid w:val="4EFE7F59"/>
    <w:rsid w:val="4F285975"/>
    <w:rsid w:val="4F2A7BF3"/>
    <w:rsid w:val="4F2D70F1"/>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144979"/>
    <w:rsid w:val="52272B85"/>
    <w:rsid w:val="52284E31"/>
    <w:rsid w:val="523E09B5"/>
    <w:rsid w:val="52687B2A"/>
    <w:rsid w:val="526E0E82"/>
    <w:rsid w:val="52751417"/>
    <w:rsid w:val="527733A7"/>
    <w:rsid w:val="527901C6"/>
    <w:rsid w:val="528F4A24"/>
    <w:rsid w:val="52944BB6"/>
    <w:rsid w:val="529A08FC"/>
    <w:rsid w:val="52A24532"/>
    <w:rsid w:val="52B3363A"/>
    <w:rsid w:val="52C4763C"/>
    <w:rsid w:val="52C56A7E"/>
    <w:rsid w:val="52DE691D"/>
    <w:rsid w:val="52E04D27"/>
    <w:rsid w:val="52ED0C96"/>
    <w:rsid w:val="53061721"/>
    <w:rsid w:val="530C0E6B"/>
    <w:rsid w:val="53166FEF"/>
    <w:rsid w:val="532A24ED"/>
    <w:rsid w:val="532F77EA"/>
    <w:rsid w:val="53367575"/>
    <w:rsid w:val="533933AA"/>
    <w:rsid w:val="533B7F54"/>
    <w:rsid w:val="535009E1"/>
    <w:rsid w:val="53650168"/>
    <w:rsid w:val="536C2A29"/>
    <w:rsid w:val="537363A5"/>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ED7585"/>
    <w:rsid w:val="53FE7128"/>
    <w:rsid w:val="540F3D40"/>
    <w:rsid w:val="54201800"/>
    <w:rsid w:val="54247F22"/>
    <w:rsid w:val="542B4430"/>
    <w:rsid w:val="542C29CD"/>
    <w:rsid w:val="542F1551"/>
    <w:rsid w:val="54381756"/>
    <w:rsid w:val="545750B7"/>
    <w:rsid w:val="545A1EBF"/>
    <w:rsid w:val="54617F0B"/>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9D461A"/>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43D81"/>
    <w:rsid w:val="58C93046"/>
    <w:rsid w:val="58D36BCB"/>
    <w:rsid w:val="58E00BA4"/>
    <w:rsid w:val="58E6349C"/>
    <w:rsid w:val="58EF63EE"/>
    <w:rsid w:val="590317F0"/>
    <w:rsid w:val="59075000"/>
    <w:rsid w:val="591331B6"/>
    <w:rsid w:val="593559FD"/>
    <w:rsid w:val="594079B2"/>
    <w:rsid w:val="596A688E"/>
    <w:rsid w:val="5987482A"/>
    <w:rsid w:val="598C6F19"/>
    <w:rsid w:val="599C49A8"/>
    <w:rsid w:val="59A36725"/>
    <w:rsid w:val="59B21BF9"/>
    <w:rsid w:val="59BB4EA3"/>
    <w:rsid w:val="59CF729E"/>
    <w:rsid w:val="59E9525B"/>
    <w:rsid w:val="59EA4433"/>
    <w:rsid w:val="59ED1FC6"/>
    <w:rsid w:val="59F01012"/>
    <w:rsid w:val="59F70BAF"/>
    <w:rsid w:val="5A0D5C90"/>
    <w:rsid w:val="5A0F4AFB"/>
    <w:rsid w:val="5A297D0D"/>
    <w:rsid w:val="5A3B166C"/>
    <w:rsid w:val="5A3C0F08"/>
    <w:rsid w:val="5A3E5B83"/>
    <w:rsid w:val="5A54407C"/>
    <w:rsid w:val="5A5663A3"/>
    <w:rsid w:val="5A571746"/>
    <w:rsid w:val="5A6253E3"/>
    <w:rsid w:val="5A680E5C"/>
    <w:rsid w:val="5A7B2AC5"/>
    <w:rsid w:val="5A8E2B19"/>
    <w:rsid w:val="5A8E6670"/>
    <w:rsid w:val="5A912613"/>
    <w:rsid w:val="5A9245E9"/>
    <w:rsid w:val="5A953D41"/>
    <w:rsid w:val="5ABC50F4"/>
    <w:rsid w:val="5AC27E1F"/>
    <w:rsid w:val="5ACC4940"/>
    <w:rsid w:val="5AD23086"/>
    <w:rsid w:val="5AD86A6D"/>
    <w:rsid w:val="5AEC14F6"/>
    <w:rsid w:val="5AF124A4"/>
    <w:rsid w:val="5B0D2D1B"/>
    <w:rsid w:val="5B141085"/>
    <w:rsid w:val="5B1F0F56"/>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05A3D"/>
    <w:rsid w:val="5BC677D8"/>
    <w:rsid w:val="5BEB0120"/>
    <w:rsid w:val="5BEC175C"/>
    <w:rsid w:val="5C097C4E"/>
    <w:rsid w:val="5C155F8B"/>
    <w:rsid w:val="5C1A3A93"/>
    <w:rsid w:val="5C235386"/>
    <w:rsid w:val="5C3B6CFC"/>
    <w:rsid w:val="5C4C2CF4"/>
    <w:rsid w:val="5C615117"/>
    <w:rsid w:val="5C62715F"/>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19BC"/>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2D226C"/>
    <w:rsid w:val="5F3370DF"/>
    <w:rsid w:val="5F491124"/>
    <w:rsid w:val="5F551CA3"/>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0C0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456E64"/>
    <w:rsid w:val="625272C3"/>
    <w:rsid w:val="626B336E"/>
    <w:rsid w:val="626E0821"/>
    <w:rsid w:val="62715337"/>
    <w:rsid w:val="6280204D"/>
    <w:rsid w:val="62866909"/>
    <w:rsid w:val="6290769B"/>
    <w:rsid w:val="62943D08"/>
    <w:rsid w:val="62A05735"/>
    <w:rsid w:val="62A411F8"/>
    <w:rsid w:val="62A81A26"/>
    <w:rsid w:val="62B1166E"/>
    <w:rsid w:val="62BA64FC"/>
    <w:rsid w:val="62BA7A46"/>
    <w:rsid w:val="62C376AC"/>
    <w:rsid w:val="62CE13CB"/>
    <w:rsid w:val="62D2197B"/>
    <w:rsid w:val="62DB028F"/>
    <w:rsid w:val="62E27863"/>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102805"/>
    <w:rsid w:val="642265C6"/>
    <w:rsid w:val="64264A79"/>
    <w:rsid w:val="64304E58"/>
    <w:rsid w:val="64311867"/>
    <w:rsid w:val="64391ED3"/>
    <w:rsid w:val="6445632E"/>
    <w:rsid w:val="64501C8A"/>
    <w:rsid w:val="64554524"/>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7160C2"/>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87F0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6FF3F3F"/>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D78DE"/>
    <w:rsid w:val="696F4D5D"/>
    <w:rsid w:val="69850877"/>
    <w:rsid w:val="698C13C5"/>
    <w:rsid w:val="69BA3522"/>
    <w:rsid w:val="69CF0441"/>
    <w:rsid w:val="69F0745A"/>
    <w:rsid w:val="6A0D20F2"/>
    <w:rsid w:val="6A1D59EC"/>
    <w:rsid w:val="6A247F72"/>
    <w:rsid w:val="6A397699"/>
    <w:rsid w:val="6A3E2393"/>
    <w:rsid w:val="6A435B92"/>
    <w:rsid w:val="6A444DB8"/>
    <w:rsid w:val="6A4D4828"/>
    <w:rsid w:val="6A516AC3"/>
    <w:rsid w:val="6A5303BA"/>
    <w:rsid w:val="6A654212"/>
    <w:rsid w:val="6A677080"/>
    <w:rsid w:val="6A6C357E"/>
    <w:rsid w:val="6A711183"/>
    <w:rsid w:val="6A7B4B9C"/>
    <w:rsid w:val="6A7F585E"/>
    <w:rsid w:val="6AAF014C"/>
    <w:rsid w:val="6AC07690"/>
    <w:rsid w:val="6ACB082B"/>
    <w:rsid w:val="6AD01857"/>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47F45"/>
    <w:rsid w:val="6C3E2FAF"/>
    <w:rsid w:val="6C45610F"/>
    <w:rsid w:val="6C59472D"/>
    <w:rsid w:val="6C5A4564"/>
    <w:rsid w:val="6C603744"/>
    <w:rsid w:val="6C637CCF"/>
    <w:rsid w:val="6C7802EB"/>
    <w:rsid w:val="6C793B2B"/>
    <w:rsid w:val="6C89456C"/>
    <w:rsid w:val="6C8F2EF7"/>
    <w:rsid w:val="6CA20D5B"/>
    <w:rsid w:val="6CB71894"/>
    <w:rsid w:val="6CD63FB3"/>
    <w:rsid w:val="6CFD5D1F"/>
    <w:rsid w:val="6CFE035F"/>
    <w:rsid w:val="6D056EA6"/>
    <w:rsid w:val="6D1766A9"/>
    <w:rsid w:val="6D221E52"/>
    <w:rsid w:val="6D227835"/>
    <w:rsid w:val="6D2834C8"/>
    <w:rsid w:val="6D2F1F0B"/>
    <w:rsid w:val="6D3C6626"/>
    <w:rsid w:val="6D5D0DB5"/>
    <w:rsid w:val="6D5E1125"/>
    <w:rsid w:val="6D6855B1"/>
    <w:rsid w:val="6D7B4AB7"/>
    <w:rsid w:val="6D7E4213"/>
    <w:rsid w:val="6D836C02"/>
    <w:rsid w:val="6D89784B"/>
    <w:rsid w:val="6D9057BE"/>
    <w:rsid w:val="6D9E0566"/>
    <w:rsid w:val="6DB9576D"/>
    <w:rsid w:val="6DBE7F27"/>
    <w:rsid w:val="6DCD0146"/>
    <w:rsid w:val="6DD05277"/>
    <w:rsid w:val="6DF43BD4"/>
    <w:rsid w:val="6E0E1FAB"/>
    <w:rsid w:val="6E2143FB"/>
    <w:rsid w:val="6E317378"/>
    <w:rsid w:val="6E3864FD"/>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8507E8"/>
    <w:rsid w:val="6FA629D4"/>
    <w:rsid w:val="6FA75ADB"/>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DB69D2"/>
    <w:rsid w:val="70F36D0F"/>
    <w:rsid w:val="70FC2D1E"/>
    <w:rsid w:val="71015D6B"/>
    <w:rsid w:val="710266F5"/>
    <w:rsid w:val="71115386"/>
    <w:rsid w:val="71151975"/>
    <w:rsid w:val="71336A65"/>
    <w:rsid w:val="71545B37"/>
    <w:rsid w:val="71570E43"/>
    <w:rsid w:val="71573E01"/>
    <w:rsid w:val="715A268F"/>
    <w:rsid w:val="71612290"/>
    <w:rsid w:val="71702748"/>
    <w:rsid w:val="717C4AD2"/>
    <w:rsid w:val="71867894"/>
    <w:rsid w:val="719F7A78"/>
    <w:rsid w:val="71B623F6"/>
    <w:rsid w:val="71C7540C"/>
    <w:rsid w:val="71D438FF"/>
    <w:rsid w:val="71F64A63"/>
    <w:rsid w:val="71F870B8"/>
    <w:rsid w:val="72021233"/>
    <w:rsid w:val="720B2A1D"/>
    <w:rsid w:val="720F1BF8"/>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596A35"/>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45365"/>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2F30CC"/>
    <w:rsid w:val="79395A92"/>
    <w:rsid w:val="794008FB"/>
    <w:rsid w:val="794708D9"/>
    <w:rsid w:val="794B21A1"/>
    <w:rsid w:val="795B125F"/>
    <w:rsid w:val="7964574A"/>
    <w:rsid w:val="79804706"/>
    <w:rsid w:val="79941CF2"/>
    <w:rsid w:val="79973382"/>
    <w:rsid w:val="79B4353E"/>
    <w:rsid w:val="79D33056"/>
    <w:rsid w:val="79D43D82"/>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40086D"/>
    <w:rsid w:val="7D5B27C9"/>
    <w:rsid w:val="7D62117D"/>
    <w:rsid w:val="7D6B7F02"/>
    <w:rsid w:val="7D834A16"/>
    <w:rsid w:val="7D9D0A97"/>
    <w:rsid w:val="7D9D438F"/>
    <w:rsid w:val="7DA514D2"/>
    <w:rsid w:val="7DBB5D06"/>
    <w:rsid w:val="7DCD1A27"/>
    <w:rsid w:val="7DCD4EB5"/>
    <w:rsid w:val="7DD76E6E"/>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ED641E"/>
    <w:rsid w:val="7EF215E8"/>
    <w:rsid w:val="7EF525E1"/>
    <w:rsid w:val="7EF74FC9"/>
    <w:rsid w:val="7F000B6A"/>
    <w:rsid w:val="7F022EBD"/>
    <w:rsid w:val="7F0B5962"/>
    <w:rsid w:val="7F0C2035"/>
    <w:rsid w:val="7F0F7992"/>
    <w:rsid w:val="7F1B0865"/>
    <w:rsid w:val="7F271AA3"/>
    <w:rsid w:val="7F542B37"/>
    <w:rsid w:val="7F54566E"/>
    <w:rsid w:val="7F6112C4"/>
    <w:rsid w:val="7F6A07E3"/>
    <w:rsid w:val="7F6B2248"/>
    <w:rsid w:val="7F6D45C9"/>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paragraph" w:customStyle="1" w:styleId="7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23</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2023-08-10T11:38:18Z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